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B80E" w14:textId="77777777" w:rsidR="003C25D0" w:rsidRDefault="003C25D0" w:rsidP="00CE134E">
      <w:pPr>
        <w:pStyle w:val="NoSpacing"/>
        <w:jc w:val="both"/>
        <w:rPr>
          <w:rFonts w:eastAsia="Times New Roman" w:cs="Arial"/>
          <w:b/>
          <w:bCs/>
          <w:szCs w:val="24"/>
        </w:rPr>
      </w:pPr>
    </w:p>
    <w:p w14:paraId="56D4DF28" w14:textId="77777777" w:rsidR="003C25D0" w:rsidRPr="0054514F" w:rsidRDefault="007712C2" w:rsidP="00CE134E">
      <w:pPr>
        <w:pStyle w:val="NoSpacing"/>
        <w:jc w:val="both"/>
        <w:rPr>
          <w:rFonts w:eastAsia="Times New Roman" w:cs="Arial"/>
          <w:b/>
          <w:bCs/>
          <w:szCs w:val="24"/>
        </w:rPr>
      </w:pPr>
      <w:r w:rsidRPr="0054514F">
        <w:rPr>
          <w:rFonts w:eastAsia="Times New Roman" w:cs="Arial"/>
          <w:b/>
          <w:bCs/>
          <w:szCs w:val="24"/>
        </w:rPr>
        <w:t>CITY DEAL EXECUTIVE AND STEWARDSHIP BOARD</w:t>
      </w:r>
    </w:p>
    <w:p w14:paraId="3F81D4DA" w14:textId="77777777" w:rsidR="003C25D0" w:rsidRPr="0054514F" w:rsidRDefault="003C25D0" w:rsidP="00CE134E">
      <w:pPr>
        <w:spacing w:after="0" w:line="240" w:lineRule="auto"/>
        <w:jc w:val="both"/>
        <w:rPr>
          <w:rFonts w:ascii="Arial" w:hAnsi="Arial" w:cs="Arial"/>
          <w:b/>
          <w:bCs/>
          <w:sz w:val="24"/>
          <w:szCs w:val="24"/>
        </w:rPr>
      </w:pPr>
    </w:p>
    <w:p w14:paraId="72CF886F" w14:textId="77777777" w:rsidR="003C25D0" w:rsidRPr="0054514F" w:rsidRDefault="007712C2" w:rsidP="00CE134E">
      <w:pPr>
        <w:spacing w:after="0" w:line="240" w:lineRule="auto"/>
        <w:jc w:val="both"/>
        <w:rPr>
          <w:rFonts w:ascii="Arial" w:hAnsi="Arial" w:cs="Arial"/>
          <w:b/>
          <w:bCs/>
          <w:sz w:val="24"/>
          <w:szCs w:val="24"/>
        </w:rPr>
      </w:pPr>
      <w:r w:rsidRPr="0054514F">
        <w:rPr>
          <w:rFonts w:ascii="Arial" w:hAnsi="Arial" w:cs="Arial"/>
          <w:b/>
          <w:sz w:val="24"/>
          <w:szCs w:val="24"/>
        </w:rPr>
        <w:t>Private and Confidential: NO</w:t>
      </w:r>
    </w:p>
    <w:p w14:paraId="1EB1F0FA" w14:textId="77777777" w:rsidR="003C25D0" w:rsidRPr="0054514F" w:rsidRDefault="003C25D0" w:rsidP="00CE134E">
      <w:pPr>
        <w:spacing w:after="0" w:line="240" w:lineRule="auto"/>
        <w:jc w:val="both"/>
        <w:rPr>
          <w:rFonts w:ascii="Arial" w:hAnsi="Arial" w:cs="Arial"/>
          <w:sz w:val="24"/>
          <w:szCs w:val="24"/>
        </w:rPr>
      </w:pPr>
    </w:p>
    <w:p w14:paraId="2B767AF7" w14:textId="31CC27A8" w:rsidR="003C25D0" w:rsidRPr="0054514F" w:rsidRDefault="007712C2" w:rsidP="289A9F44">
      <w:pPr>
        <w:spacing w:after="0" w:line="240" w:lineRule="auto"/>
        <w:jc w:val="both"/>
        <w:rPr>
          <w:rFonts w:ascii="Arial" w:hAnsi="Arial" w:cs="Arial"/>
          <w:sz w:val="24"/>
          <w:szCs w:val="24"/>
          <w:highlight w:val="yellow"/>
        </w:rPr>
      </w:pPr>
      <w:r w:rsidRPr="289A9F44">
        <w:rPr>
          <w:rFonts w:ascii="Arial" w:hAnsi="Arial" w:cs="Arial"/>
          <w:b/>
          <w:bCs/>
          <w:sz w:val="24"/>
          <w:szCs w:val="24"/>
        </w:rPr>
        <w:t>D</w:t>
      </w:r>
      <w:r w:rsidRPr="00FE5CE5">
        <w:rPr>
          <w:rFonts w:ascii="Arial" w:hAnsi="Arial" w:cs="Arial"/>
          <w:b/>
          <w:bCs/>
          <w:sz w:val="24"/>
          <w:szCs w:val="24"/>
        </w:rPr>
        <w:t>ate:</w:t>
      </w:r>
      <w:r w:rsidRPr="00FE5CE5">
        <w:rPr>
          <w:rFonts w:ascii="Arial" w:hAnsi="Arial" w:cs="Arial"/>
          <w:sz w:val="24"/>
          <w:szCs w:val="24"/>
        </w:rPr>
        <w:t xml:space="preserve"> </w:t>
      </w:r>
      <w:r w:rsidR="00FE5CE5">
        <w:rPr>
          <w:rFonts w:ascii="Arial" w:hAnsi="Arial" w:cs="Arial"/>
          <w:sz w:val="24"/>
          <w:szCs w:val="24"/>
        </w:rPr>
        <w:t xml:space="preserve">Tuesday, </w:t>
      </w:r>
      <w:r w:rsidR="00FE5CE5" w:rsidRPr="00FE5CE5">
        <w:rPr>
          <w:rFonts w:ascii="Arial" w:hAnsi="Arial" w:cs="Arial"/>
          <w:sz w:val="24"/>
          <w:szCs w:val="24"/>
        </w:rPr>
        <w:t>5</w:t>
      </w:r>
      <w:r w:rsidR="00FE5CE5" w:rsidRPr="00FE5CE5">
        <w:rPr>
          <w:rFonts w:ascii="Arial" w:hAnsi="Arial" w:cs="Arial"/>
          <w:sz w:val="24"/>
          <w:szCs w:val="24"/>
          <w:vertAlign w:val="superscript"/>
        </w:rPr>
        <w:t>th</w:t>
      </w:r>
      <w:r w:rsidR="00FE5CE5" w:rsidRPr="00FE5CE5">
        <w:rPr>
          <w:rFonts w:ascii="Arial" w:hAnsi="Arial" w:cs="Arial"/>
          <w:sz w:val="24"/>
          <w:szCs w:val="24"/>
        </w:rPr>
        <w:t xml:space="preserve"> December 2023</w:t>
      </w:r>
    </w:p>
    <w:p w14:paraId="7B582EE4" w14:textId="77777777" w:rsidR="003C25D0" w:rsidRPr="0054514F" w:rsidRDefault="003C25D0" w:rsidP="289A9F44">
      <w:pPr>
        <w:spacing w:after="0" w:line="240" w:lineRule="auto"/>
        <w:jc w:val="both"/>
        <w:rPr>
          <w:rFonts w:ascii="Arial" w:hAnsi="Arial" w:cs="Arial"/>
          <w:sz w:val="24"/>
          <w:szCs w:val="24"/>
          <w:highlight w:val="yellow"/>
        </w:rPr>
      </w:pPr>
    </w:p>
    <w:p w14:paraId="010BE6E1" w14:textId="7712D5FB" w:rsidR="003C25D0" w:rsidRPr="0054514F" w:rsidRDefault="00E80322" w:rsidP="00CE134E">
      <w:pPr>
        <w:spacing w:after="0" w:line="240" w:lineRule="auto"/>
        <w:jc w:val="both"/>
        <w:rPr>
          <w:rFonts w:ascii="Arial" w:eastAsia="Times New Roman" w:hAnsi="Arial" w:cs="Arial"/>
          <w:b/>
          <w:sz w:val="24"/>
          <w:szCs w:val="24"/>
        </w:rPr>
      </w:pPr>
      <w:r w:rsidRPr="0054514F">
        <w:rPr>
          <w:rFonts w:ascii="Arial" w:eastAsia="Times New Roman" w:hAnsi="Arial" w:cs="Arial"/>
          <w:b/>
          <w:sz w:val="24"/>
          <w:szCs w:val="24"/>
        </w:rPr>
        <w:t xml:space="preserve">City Deal – </w:t>
      </w:r>
      <w:r w:rsidR="00157C2B" w:rsidRPr="0054514F">
        <w:rPr>
          <w:rFonts w:ascii="Arial" w:eastAsia="Times New Roman" w:hAnsi="Arial" w:cs="Arial"/>
          <w:b/>
          <w:sz w:val="24"/>
          <w:szCs w:val="24"/>
        </w:rPr>
        <w:t xml:space="preserve">Delivery and Performance </w:t>
      </w:r>
      <w:r w:rsidRPr="0054514F">
        <w:rPr>
          <w:rFonts w:ascii="Arial" w:eastAsia="Times New Roman" w:hAnsi="Arial" w:cs="Arial"/>
          <w:b/>
          <w:sz w:val="24"/>
          <w:szCs w:val="24"/>
        </w:rPr>
        <w:t>Update Report</w:t>
      </w:r>
    </w:p>
    <w:p w14:paraId="40A4F791" w14:textId="7D94BE6B" w:rsidR="003C25D0" w:rsidRDefault="00554543" w:rsidP="00CE134E">
      <w:pPr>
        <w:spacing w:after="0" w:line="240" w:lineRule="auto"/>
        <w:jc w:val="both"/>
        <w:rPr>
          <w:rFonts w:ascii="Arial" w:hAnsi="Arial" w:cs="Arial"/>
          <w:sz w:val="24"/>
          <w:szCs w:val="24"/>
        </w:rPr>
      </w:pPr>
      <w:r>
        <w:rPr>
          <w:rFonts w:ascii="Arial" w:hAnsi="Arial" w:cs="Arial"/>
          <w:sz w:val="24"/>
          <w:szCs w:val="24"/>
        </w:rPr>
        <w:t>(Appendices 'A' to 'F' refer)</w:t>
      </w:r>
    </w:p>
    <w:p w14:paraId="4E59FC0B" w14:textId="77777777" w:rsidR="00554543" w:rsidRPr="0054514F" w:rsidRDefault="00554543" w:rsidP="00CE134E">
      <w:pPr>
        <w:spacing w:after="0" w:line="240" w:lineRule="auto"/>
        <w:jc w:val="both"/>
        <w:rPr>
          <w:rFonts w:ascii="Arial" w:hAnsi="Arial" w:cs="Arial"/>
          <w:sz w:val="24"/>
          <w:szCs w:val="24"/>
        </w:rPr>
      </w:pPr>
    </w:p>
    <w:p w14:paraId="13BA4780" w14:textId="05AAEAED" w:rsidR="003C25D0" w:rsidRPr="0054514F" w:rsidRDefault="007712C2" w:rsidP="00CE134E">
      <w:pPr>
        <w:spacing w:after="0" w:line="240" w:lineRule="auto"/>
        <w:ind w:right="-873"/>
        <w:jc w:val="both"/>
        <w:rPr>
          <w:rFonts w:ascii="Arial" w:eastAsia="Times New Roman" w:hAnsi="Arial" w:cs="Arial"/>
          <w:b/>
          <w:sz w:val="24"/>
          <w:szCs w:val="24"/>
        </w:rPr>
      </w:pPr>
      <w:r w:rsidRPr="0054514F">
        <w:rPr>
          <w:rFonts w:ascii="Arial" w:hAnsi="Arial" w:cs="Arial"/>
          <w:b/>
          <w:sz w:val="24"/>
          <w:szCs w:val="24"/>
        </w:rPr>
        <w:t xml:space="preserve">Report Author: </w:t>
      </w:r>
      <w:r w:rsidR="001737F1">
        <w:rPr>
          <w:rFonts w:ascii="Arial" w:hAnsi="Arial" w:cs="Arial"/>
          <w:b/>
          <w:sz w:val="24"/>
          <w:szCs w:val="24"/>
        </w:rPr>
        <w:t>Homairah Sheth</w:t>
      </w:r>
      <w:r w:rsidRPr="0054514F">
        <w:rPr>
          <w:rFonts w:ascii="Arial" w:hAnsi="Arial" w:cs="Arial"/>
          <w:b/>
          <w:sz w:val="24"/>
          <w:szCs w:val="24"/>
        </w:rPr>
        <w:t xml:space="preserve">, </w:t>
      </w:r>
      <w:r w:rsidRPr="0054514F">
        <w:rPr>
          <w:rFonts w:ascii="Arial" w:hAnsi="Arial" w:cs="Arial"/>
          <w:b/>
          <w:sz w:val="24"/>
          <w:szCs w:val="24"/>
        </w:rPr>
        <w:fldChar w:fldCharType="begin"/>
      </w:r>
      <w:r w:rsidRPr="0054514F">
        <w:rPr>
          <w:rFonts w:ascii="Arial" w:hAnsi="Arial" w:cs="Arial"/>
          <w:b/>
          <w:sz w:val="24"/>
          <w:szCs w:val="24"/>
        </w:rPr>
        <w:instrText xml:space="preserve"> DOCPROPERTY  LeadOfficerTel  \* MERGEFORMAT </w:instrText>
      </w:r>
      <w:r w:rsidRPr="0054514F">
        <w:rPr>
          <w:rFonts w:ascii="Arial" w:hAnsi="Arial" w:cs="Arial"/>
          <w:b/>
          <w:sz w:val="24"/>
          <w:szCs w:val="24"/>
        </w:rPr>
        <w:fldChar w:fldCharType="separate"/>
      </w:r>
      <w:r w:rsidRPr="0054514F">
        <w:rPr>
          <w:rFonts w:ascii="Arial" w:hAnsi="Arial" w:cs="Arial"/>
          <w:b/>
          <w:sz w:val="24"/>
          <w:szCs w:val="24"/>
        </w:rPr>
        <w:t>Tel: 01772 53</w:t>
      </w:r>
      <w:r w:rsidR="001737F1">
        <w:rPr>
          <w:rFonts w:ascii="Arial" w:hAnsi="Arial" w:cs="Arial"/>
          <w:b/>
          <w:sz w:val="24"/>
          <w:szCs w:val="24"/>
        </w:rPr>
        <w:t>655</w:t>
      </w:r>
      <w:r w:rsidRPr="0054514F">
        <w:rPr>
          <w:rFonts w:ascii="Arial" w:hAnsi="Arial" w:cs="Arial"/>
          <w:b/>
          <w:sz w:val="24"/>
          <w:szCs w:val="24"/>
        </w:rPr>
        <w:t>6</w:t>
      </w:r>
      <w:r w:rsidRPr="0054514F">
        <w:rPr>
          <w:rFonts w:ascii="Arial" w:hAnsi="Arial" w:cs="Arial"/>
          <w:b/>
          <w:sz w:val="24"/>
          <w:szCs w:val="24"/>
        </w:rPr>
        <w:fldChar w:fldCharType="end"/>
      </w:r>
      <w:r w:rsidRPr="0054514F">
        <w:rPr>
          <w:rFonts w:ascii="Arial" w:hAnsi="Arial" w:cs="Arial"/>
          <w:b/>
          <w:sz w:val="24"/>
          <w:szCs w:val="24"/>
        </w:rPr>
        <w:t xml:space="preserve">, </w:t>
      </w:r>
    </w:p>
    <w:p w14:paraId="6C55C5ED" w14:textId="7FF546F6" w:rsidR="003C25D0" w:rsidRPr="0054514F" w:rsidRDefault="007712C2" w:rsidP="00CE134E">
      <w:pPr>
        <w:spacing w:after="0" w:line="240" w:lineRule="auto"/>
        <w:ind w:right="-873"/>
        <w:jc w:val="both"/>
        <w:rPr>
          <w:rFonts w:ascii="Arial" w:hAnsi="Arial" w:cs="Arial"/>
          <w:b/>
          <w:sz w:val="24"/>
          <w:szCs w:val="24"/>
        </w:rPr>
      </w:pPr>
      <w:r w:rsidRPr="0054514F">
        <w:rPr>
          <w:rFonts w:ascii="Arial" w:hAnsi="Arial" w:cs="Arial"/>
          <w:b/>
          <w:sz w:val="24"/>
          <w:szCs w:val="24"/>
        </w:rPr>
        <w:fldChar w:fldCharType="begin"/>
      </w:r>
      <w:r w:rsidRPr="0054514F">
        <w:rPr>
          <w:rFonts w:ascii="Arial" w:hAnsi="Arial" w:cs="Arial"/>
          <w:b/>
          <w:sz w:val="24"/>
          <w:szCs w:val="24"/>
        </w:rPr>
        <w:instrText xml:space="preserve"> DOCPROPERTY  LeadOfficerEmail  \* MERGEFORMAT </w:instrText>
      </w:r>
      <w:r w:rsidRPr="0054514F">
        <w:rPr>
          <w:rFonts w:ascii="Arial" w:hAnsi="Arial" w:cs="Arial"/>
          <w:b/>
          <w:sz w:val="24"/>
          <w:szCs w:val="24"/>
        </w:rPr>
        <w:fldChar w:fldCharType="separate"/>
      </w:r>
      <w:r w:rsidR="001737F1">
        <w:rPr>
          <w:rFonts w:ascii="Arial" w:hAnsi="Arial" w:cs="Arial"/>
          <w:b/>
          <w:sz w:val="24"/>
          <w:szCs w:val="24"/>
        </w:rPr>
        <w:t>Homairah</w:t>
      </w:r>
      <w:r w:rsidR="00E80322" w:rsidRPr="0054514F">
        <w:rPr>
          <w:rFonts w:ascii="Arial" w:hAnsi="Arial" w:cs="Arial"/>
          <w:b/>
          <w:sz w:val="24"/>
          <w:szCs w:val="24"/>
        </w:rPr>
        <w:t>.</w:t>
      </w:r>
      <w:r w:rsidR="001737F1">
        <w:rPr>
          <w:rFonts w:ascii="Arial" w:hAnsi="Arial" w:cs="Arial"/>
          <w:b/>
          <w:sz w:val="24"/>
          <w:szCs w:val="24"/>
        </w:rPr>
        <w:t>Sheth</w:t>
      </w:r>
      <w:r w:rsidRPr="0054514F">
        <w:rPr>
          <w:rFonts w:ascii="Arial" w:hAnsi="Arial" w:cs="Arial"/>
          <w:b/>
          <w:sz w:val="24"/>
          <w:szCs w:val="24"/>
        </w:rPr>
        <w:t>@lancashire.gov.uk</w:t>
      </w:r>
      <w:r w:rsidRPr="0054514F">
        <w:rPr>
          <w:rFonts w:ascii="Arial" w:hAnsi="Arial" w:cs="Arial"/>
          <w:b/>
          <w:sz w:val="24"/>
          <w:szCs w:val="24"/>
        </w:rPr>
        <w:fldChar w:fldCharType="end"/>
      </w:r>
    </w:p>
    <w:p w14:paraId="3196F96E" w14:textId="77777777" w:rsidR="003C25D0" w:rsidRPr="00EE3176" w:rsidRDefault="003C25D0" w:rsidP="00CE134E">
      <w:pPr>
        <w:spacing w:after="0" w:line="240" w:lineRule="auto"/>
        <w:jc w:val="both"/>
        <w:rPr>
          <w:rFonts w:ascii="Arial" w:hAnsi="Arial" w:cs="Arial"/>
          <w:b/>
          <w:sz w:val="24"/>
          <w:szCs w:val="24"/>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78D0" w:rsidRPr="00EE3176" w14:paraId="75E134A2" w14:textId="77777777">
        <w:tc>
          <w:tcPr>
            <w:tcW w:w="9180" w:type="dxa"/>
          </w:tcPr>
          <w:p w14:paraId="07EBACD5" w14:textId="77777777" w:rsidR="003C25D0" w:rsidRPr="00EE3176" w:rsidRDefault="003C25D0" w:rsidP="00CE134E">
            <w:pPr>
              <w:pStyle w:val="Header"/>
              <w:jc w:val="both"/>
              <w:rPr>
                <w:rFonts w:ascii="Arial" w:hAnsi="Arial" w:cs="Arial"/>
                <w:sz w:val="24"/>
                <w:szCs w:val="24"/>
                <w:highlight w:val="yellow"/>
              </w:rPr>
            </w:pPr>
          </w:p>
          <w:p w14:paraId="77521FDF" w14:textId="77777777" w:rsidR="003C25D0" w:rsidRPr="00800E81" w:rsidRDefault="007712C2" w:rsidP="00CE134E">
            <w:pPr>
              <w:pStyle w:val="Heading6"/>
              <w:spacing w:before="0" w:line="240" w:lineRule="auto"/>
              <w:jc w:val="both"/>
              <w:rPr>
                <w:rFonts w:ascii="Arial" w:hAnsi="Arial" w:cs="Arial"/>
                <w:b/>
                <w:color w:val="auto"/>
              </w:rPr>
            </w:pPr>
            <w:r w:rsidRPr="00800E81">
              <w:rPr>
                <w:rFonts w:ascii="Arial" w:hAnsi="Arial" w:cs="Arial"/>
                <w:b/>
                <w:color w:val="auto"/>
              </w:rPr>
              <w:t>Executive Summary</w:t>
            </w:r>
          </w:p>
          <w:p w14:paraId="249DAC91" w14:textId="77777777" w:rsidR="003C25D0" w:rsidRPr="00800E81" w:rsidRDefault="003C25D0" w:rsidP="00CE134E">
            <w:pPr>
              <w:spacing w:after="0" w:line="240" w:lineRule="auto"/>
              <w:jc w:val="both"/>
              <w:rPr>
                <w:rFonts w:ascii="Arial" w:hAnsi="Arial" w:cs="Arial"/>
                <w:sz w:val="24"/>
                <w:szCs w:val="24"/>
              </w:rPr>
            </w:pPr>
          </w:p>
          <w:p w14:paraId="766D7D4F" w14:textId="28D1589B" w:rsidR="00E80322" w:rsidRPr="00EE3176" w:rsidRDefault="007712C2" w:rsidP="00CE134E">
            <w:pPr>
              <w:spacing w:after="0" w:line="240" w:lineRule="auto"/>
              <w:jc w:val="both"/>
              <w:rPr>
                <w:rFonts w:ascii="Arial" w:hAnsi="Arial" w:cs="Arial"/>
                <w:sz w:val="24"/>
                <w:szCs w:val="24"/>
                <w:highlight w:val="yellow"/>
              </w:rPr>
            </w:pPr>
            <w:r w:rsidRPr="00800E81">
              <w:rPr>
                <w:rFonts w:ascii="Arial" w:hAnsi="Arial" w:cs="Arial"/>
                <w:sz w:val="24"/>
                <w:szCs w:val="24"/>
              </w:rPr>
              <w:t xml:space="preserve">This report provides </w:t>
            </w:r>
            <w:r w:rsidR="00E80322" w:rsidRPr="00800E81">
              <w:rPr>
                <w:rFonts w:ascii="Arial" w:hAnsi="Arial" w:cs="Arial"/>
                <w:sz w:val="24"/>
                <w:szCs w:val="24"/>
              </w:rPr>
              <w:t>the City Deal Executive and Stewardship Board with a</w:t>
            </w:r>
            <w:r w:rsidR="00EA1B32" w:rsidRPr="00800E81">
              <w:rPr>
                <w:rFonts w:ascii="Arial" w:hAnsi="Arial" w:cs="Arial"/>
                <w:sz w:val="24"/>
                <w:szCs w:val="24"/>
              </w:rPr>
              <w:t xml:space="preserve">n overview of City Deal </w:t>
            </w:r>
            <w:r w:rsidR="00EA78AA" w:rsidRPr="00800E81">
              <w:rPr>
                <w:rFonts w:ascii="Arial" w:hAnsi="Arial" w:cs="Arial"/>
                <w:sz w:val="24"/>
                <w:szCs w:val="24"/>
              </w:rPr>
              <w:t>programme level</w:t>
            </w:r>
            <w:r w:rsidR="00E80322" w:rsidRPr="00800E81">
              <w:rPr>
                <w:rFonts w:ascii="Arial" w:hAnsi="Arial" w:cs="Arial"/>
                <w:sz w:val="24"/>
                <w:szCs w:val="24"/>
              </w:rPr>
              <w:t xml:space="preserve"> performance and </w:t>
            </w:r>
            <w:r w:rsidR="00EA78AA" w:rsidRPr="00800E81">
              <w:rPr>
                <w:rFonts w:ascii="Arial" w:hAnsi="Arial" w:cs="Arial"/>
                <w:sz w:val="24"/>
                <w:szCs w:val="24"/>
              </w:rPr>
              <w:t xml:space="preserve">project </w:t>
            </w:r>
            <w:r w:rsidR="00E80322" w:rsidRPr="00800E81">
              <w:rPr>
                <w:rFonts w:ascii="Arial" w:hAnsi="Arial" w:cs="Arial"/>
                <w:sz w:val="24"/>
                <w:szCs w:val="24"/>
              </w:rPr>
              <w:t>delivery</w:t>
            </w:r>
            <w:r w:rsidR="00EA1B32" w:rsidRPr="00800E81">
              <w:rPr>
                <w:rFonts w:ascii="Arial" w:hAnsi="Arial" w:cs="Arial"/>
                <w:sz w:val="24"/>
                <w:szCs w:val="24"/>
              </w:rPr>
              <w:t xml:space="preserve">.  The report demonstrates that overall, good progress continues to be made on the live schemes.  </w:t>
            </w:r>
          </w:p>
          <w:p w14:paraId="506FDF3A" w14:textId="6ED38777" w:rsidR="00EA1B32" w:rsidRPr="00FE5CE5" w:rsidRDefault="00EA1B32" w:rsidP="00CE134E">
            <w:pPr>
              <w:spacing w:after="0" w:line="240" w:lineRule="auto"/>
              <w:jc w:val="both"/>
              <w:rPr>
                <w:rFonts w:ascii="Arial" w:hAnsi="Arial" w:cs="Arial"/>
                <w:sz w:val="24"/>
                <w:szCs w:val="24"/>
              </w:rPr>
            </w:pPr>
          </w:p>
          <w:p w14:paraId="4400C070" w14:textId="50428A08" w:rsidR="00EA1B32" w:rsidRPr="00757855" w:rsidRDefault="00EA1B32" w:rsidP="00CE134E">
            <w:pPr>
              <w:spacing w:after="0" w:line="240" w:lineRule="auto"/>
              <w:jc w:val="both"/>
              <w:rPr>
                <w:rFonts w:ascii="Arial" w:hAnsi="Arial" w:cs="Arial"/>
                <w:sz w:val="24"/>
                <w:szCs w:val="24"/>
              </w:rPr>
            </w:pPr>
            <w:r w:rsidRPr="00FE5CE5">
              <w:rPr>
                <w:rFonts w:ascii="Arial" w:hAnsi="Arial" w:cs="Arial"/>
                <w:sz w:val="24"/>
                <w:szCs w:val="24"/>
              </w:rPr>
              <w:t xml:space="preserve">At the end of Year </w:t>
            </w:r>
            <w:r w:rsidR="00757855" w:rsidRPr="00FE5CE5">
              <w:rPr>
                <w:rFonts w:ascii="Arial" w:hAnsi="Arial" w:cs="Arial"/>
                <w:sz w:val="24"/>
                <w:szCs w:val="24"/>
              </w:rPr>
              <w:t>9</w:t>
            </w:r>
            <w:r w:rsidRPr="00FE5CE5">
              <w:rPr>
                <w:rFonts w:ascii="Arial" w:hAnsi="Arial" w:cs="Arial"/>
                <w:sz w:val="24"/>
                <w:szCs w:val="24"/>
              </w:rPr>
              <w:t xml:space="preserve"> (202</w:t>
            </w:r>
            <w:r w:rsidR="00757855" w:rsidRPr="00FE5CE5">
              <w:rPr>
                <w:rFonts w:ascii="Arial" w:hAnsi="Arial" w:cs="Arial"/>
                <w:sz w:val="24"/>
                <w:szCs w:val="24"/>
              </w:rPr>
              <w:t>2</w:t>
            </w:r>
            <w:r w:rsidRPr="00FE5CE5">
              <w:rPr>
                <w:rFonts w:ascii="Arial" w:hAnsi="Arial" w:cs="Arial"/>
                <w:sz w:val="24"/>
                <w:szCs w:val="24"/>
              </w:rPr>
              <w:t>/202</w:t>
            </w:r>
            <w:r w:rsidR="00757855" w:rsidRPr="00FE5CE5">
              <w:rPr>
                <w:rFonts w:ascii="Arial" w:hAnsi="Arial" w:cs="Arial"/>
                <w:sz w:val="24"/>
                <w:szCs w:val="24"/>
              </w:rPr>
              <w:t>3</w:t>
            </w:r>
            <w:r w:rsidRPr="00FE5CE5">
              <w:rPr>
                <w:rFonts w:ascii="Arial" w:hAnsi="Arial" w:cs="Arial"/>
                <w:sz w:val="24"/>
                <w:szCs w:val="24"/>
              </w:rPr>
              <w:t>) progress towards achieving the core metrics remains consistent</w:t>
            </w:r>
            <w:r w:rsidR="00757855" w:rsidRPr="00FE5CE5">
              <w:rPr>
                <w:rFonts w:ascii="Arial" w:hAnsi="Arial" w:cs="Arial"/>
                <w:sz w:val="24"/>
                <w:szCs w:val="24"/>
              </w:rPr>
              <w:t xml:space="preserve">. </w:t>
            </w:r>
            <w:r w:rsidRPr="00FE5CE5">
              <w:rPr>
                <w:rFonts w:ascii="Arial" w:hAnsi="Arial" w:cs="Arial"/>
                <w:sz w:val="24"/>
                <w:szCs w:val="24"/>
              </w:rPr>
              <w:t xml:space="preserve">The </w:t>
            </w:r>
            <w:r w:rsidR="001737F1">
              <w:rPr>
                <w:rFonts w:ascii="Arial" w:hAnsi="Arial" w:cs="Arial"/>
                <w:sz w:val="24"/>
                <w:szCs w:val="24"/>
              </w:rPr>
              <w:t xml:space="preserve">outcome of the </w:t>
            </w:r>
            <w:r w:rsidRPr="00FE5CE5">
              <w:rPr>
                <w:rFonts w:ascii="Arial" w:hAnsi="Arial" w:cs="Arial"/>
                <w:sz w:val="24"/>
                <w:szCs w:val="24"/>
              </w:rPr>
              <w:t xml:space="preserve">ongoing discussions relating to </w:t>
            </w:r>
            <w:r w:rsidR="00FE5CE5">
              <w:rPr>
                <w:rFonts w:ascii="Arial" w:hAnsi="Arial" w:cs="Arial"/>
                <w:sz w:val="24"/>
                <w:szCs w:val="24"/>
              </w:rPr>
              <w:t>a revised Deal</w:t>
            </w:r>
            <w:r w:rsidRPr="00FE5CE5">
              <w:rPr>
                <w:rFonts w:ascii="Arial" w:hAnsi="Arial" w:cs="Arial"/>
                <w:sz w:val="24"/>
                <w:szCs w:val="24"/>
              </w:rPr>
              <w:t xml:space="preserve">, will </w:t>
            </w:r>
            <w:r w:rsidR="001737F1">
              <w:rPr>
                <w:rFonts w:ascii="Arial" w:hAnsi="Arial" w:cs="Arial"/>
                <w:sz w:val="24"/>
                <w:szCs w:val="24"/>
              </w:rPr>
              <w:t>inform the monitoring process of the core and supporting outputs</w:t>
            </w:r>
            <w:r w:rsidR="009B4811">
              <w:rPr>
                <w:rFonts w:ascii="Arial" w:hAnsi="Arial" w:cs="Arial"/>
                <w:sz w:val="24"/>
                <w:szCs w:val="24"/>
              </w:rPr>
              <w:t xml:space="preserve"> going forwards</w:t>
            </w:r>
            <w:r w:rsidR="001737F1">
              <w:rPr>
                <w:rFonts w:ascii="Arial" w:hAnsi="Arial" w:cs="Arial"/>
                <w:sz w:val="24"/>
                <w:szCs w:val="24"/>
              </w:rPr>
              <w:t xml:space="preserve">. </w:t>
            </w:r>
          </w:p>
          <w:p w14:paraId="34901164" w14:textId="77777777" w:rsidR="00E80322" w:rsidRPr="00757855" w:rsidRDefault="00E80322" w:rsidP="00CE134E">
            <w:pPr>
              <w:spacing w:after="0" w:line="240" w:lineRule="auto"/>
              <w:jc w:val="both"/>
              <w:rPr>
                <w:rFonts w:ascii="Arial" w:hAnsi="Arial" w:cs="Arial"/>
                <w:sz w:val="24"/>
                <w:szCs w:val="24"/>
              </w:rPr>
            </w:pPr>
          </w:p>
          <w:p w14:paraId="0E69201C" w14:textId="77777777" w:rsidR="003C25D0" w:rsidRPr="00757855" w:rsidRDefault="007712C2" w:rsidP="00CE134E">
            <w:pPr>
              <w:pStyle w:val="Heading5"/>
              <w:spacing w:before="0" w:line="240" w:lineRule="auto"/>
              <w:jc w:val="both"/>
              <w:rPr>
                <w:rFonts w:ascii="Arial" w:hAnsi="Arial" w:cs="Arial"/>
                <w:b/>
                <w:color w:val="auto"/>
              </w:rPr>
            </w:pPr>
            <w:r w:rsidRPr="00757855">
              <w:rPr>
                <w:rFonts w:ascii="Arial" w:hAnsi="Arial" w:cs="Arial"/>
                <w:b/>
                <w:color w:val="auto"/>
              </w:rPr>
              <w:t>Recommendation</w:t>
            </w:r>
          </w:p>
          <w:p w14:paraId="720178AF" w14:textId="77777777" w:rsidR="003C25D0" w:rsidRPr="00757855" w:rsidRDefault="003C25D0" w:rsidP="00CE134E">
            <w:pPr>
              <w:spacing w:after="0" w:line="240" w:lineRule="auto"/>
              <w:jc w:val="both"/>
              <w:rPr>
                <w:rFonts w:ascii="Arial" w:hAnsi="Arial" w:cs="Arial"/>
                <w:sz w:val="24"/>
                <w:szCs w:val="24"/>
              </w:rPr>
            </w:pPr>
          </w:p>
          <w:p w14:paraId="1709466C" w14:textId="7070E784" w:rsidR="008E26C7" w:rsidRDefault="008E26C7" w:rsidP="00CE134E">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That t</w:t>
            </w:r>
            <w:r w:rsidR="007712C2" w:rsidRPr="00757855">
              <w:rPr>
                <w:rFonts w:ascii="Arial" w:hAnsi="Arial" w:cs="Arial"/>
                <w:sz w:val="24"/>
                <w:szCs w:val="24"/>
              </w:rPr>
              <w:t xml:space="preserve">he City Deal Executive </w:t>
            </w:r>
            <w:r w:rsidR="00AE76A8">
              <w:rPr>
                <w:rFonts w:ascii="Arial" w:hAnsi="Arial" w:cs="Arial"/>
                <w:sz w:val="24"/>
                <w:szCs w:val="24"/>
              </w:rPr>
              <w:t xml:space="preserve">and Stewardship Board </w:t>
            </w:r>
            <w:r w:rsidR="007712C2" w:rsidRPr="00757855">
              <w:rPr>
                <w:rFonts w:ascii="Arial" w:hAnsi="Arial" w:cs="Arial"/>
                <w:sz w:val="24"/>
                <w:szCs w:val="24"/>
              </w:rPr>
              <w:t>is asked to note the report</w:t>
            </w:r>
            <w:r>
              <w:rPr>
                <w:rFonts w:ascii="Arial" w:hAnsi="Arial" w:cs="Arial"/>
                <w:sz w:val="24"/>
                <w:szCs w:val="24"/>
              </w:rPr>
              <w:t>.</w:t>
            </w:r>
          </w:p>
          <w:p w14:paraId="685E99D2" w14:textId="77777777" w:rsidR="008E26C7" w:rsidRDefault="008E26C7" w:rsidP="00CE134E">
            <w:pPr>
              <w:spacing w:after="0" w:line="240" w:lineRule="auto"/>
              <w:jc w:val="both"/>
              <w:rPr>
                <w:rFonts w:ascii="Arial" w:hAnsi="Arial" w:cs="Arial"/>
                <w:sz w:val="24"/>
                <w:szCs w:val="24"/>
              </w:rPr>
            </w:pPr>
          </w:p>
          <w:p w14:paraId="608E4E40" w14:textId="59DE67C5" w:rsidR="008E26C7" w:rsidRDefault="008E26C7" w:rsidP="008E26C7">
            <w:pPr>
              <w:pStyle w:val="NoSpacing"/>
              <w:jc w:val="both"/>
              <w:rPr>
                <w:rFonts w:cs="Arial"/>
                <w:szCs w:val="24"/>
              </w:rPr>
            </w:pPr>
            <w:r>
              <w:rPr>
                <w:rFonts w:cs="Arial"/>
                <w:szCs w:val="24"/>
              </w:rPr>
              <w:t>(ii) That due to the data sources for most of the Employment and Skills measures being no longer available (referred to in appendix F), that the City Deal Executive agree that this is the final report on these measures.</w:t>
            </w:r>
          </w:p>
          <w:p w14:paraId="67F67B33" w14:textId="77777777" w:rsidR="003C25D0" w:rsidRPr="00EE3176" w:rsidRDefault="003C25D0" w:rsidP="008E26C7">
            <w:pPr>
              <w:spacing w:after="0" w:line="240" w:lineRule="auto"/>
              <w:jc w:val="both"/>
              <w:rPr>
                <w:rFonts w:ascii="Arial" w:hAnsi="Arial" w:cs="Arial"/>
                <w:sz w:val="24"/>
                <w:szCs w:val="24"/>
                <w:highlight w:val="yellow"/>
              </w:rPr>
            </w:pPr>
          </w:p>
        </w:tc>
      </w:tr>
    </w:tbl>
    <w:p w14:paraId="5BAD1446" w14:textId="77777777" w:rsidR="003C25D0" w:rsidRPr="00EE3176" w:rsidRDefault="003C25D0" w:rsidP="00CE134E">
      <w:pPr>
        <w:pStyle w:val="Header"/>
        <w:jc w:val="both"/>
        <w:rPr>
          <w:rFonts w:ascii="Arial" w:hAnsi="Arial" w:cs="Arial"/>
          <w:sz w:val="24"/>
          <w:szCs w:val="24"/>
          <w:highlight w:val="yellow"/>
        </w:rPr>
      </w:pPr>
    </w:p>
    <w:p w14:paraId="19EFB127" w14:textId="33D9E6DD" w:rsidR="003C25D0" w:rsidRPr="00800E81" w:rsidRDefault="000039D0" w:rsidP="00CE134E">
      <w:pPr>
        <w:spacing w:after="0" w:line="240" w:lineRule="auto"/>
        <w:jc w:val="both"/>
        <w:rPr>
          <w:rFonts w:ascii="Arial" w:hAnsi="Arial" w:cs="Arial"/>
          <w:b/>
          <w:sz w:val="24"/>
          <w:szCs w:val="24"/>
        </w:rPr>
      </w:pPr>
      <w:r w:rsidRPr="00800E81">
        <w:rPr>
          <w:rFonts w:ascii="Arial" w:hAnsi="Arial" w:cs="Arial"/>
          <w:b/>
          <w:sz w:val="24"/>
          <w:szCs w:val="24"/>
        </w:rPr>
        <w:t>1.</w:t>
      </w:r>
      <w:r w:rsidRPr="00800E81">
        <w:rPr>
          <w:rFonts w:ascii="Arial" w:hAnsi="Arial" w:cs="Arial"/>
          <w:b/>
          <w:sz w:val="24"/>
          <w:szCs w:val="24"/>
        </w:rPr>
        <w:tab/>
      </w:r>
      <w:r w:rsidR="007712C2" w:rsidRPr="00800E81">
        <w:rPr>
          <w:rFonts w:ascii="Arial" w:hAnsi="Arial" w:cs="Arial"/>
          <w:b/>
          <w:sz w:val="24"/>
          <w:szCs w:val="24"/>
        </w:rPr>
        <w:t xml:space="preserve">Background and Advice </w:t>
      </w:r>
    </w:p>
    <w:p w14:paraId="301ADA1A" w14:textId="112DF03D" w:rsidR="00EA78AA" w:rsidRPr="00800E81" w:rsidRDefault="00EA78AA" w:rsidP="00CE134E">
      <w:pPr>
        <w:spacing w:after="0" w:line="240" w:lineRule="auto"/>
        <w:jc w:val="both"/>
        <w:rPr>
          <w:rFonts w:ascii="Arial" w:hAnsi="Arial" w:cs="Arial"/>
          <w:b/>
          <w:sz w:val="24"/>
          <w:szCs w:val="24"/>
        </w:rPr>
      </w:pPr>
    </w:p>
    <w:p w14:paraId="7152A485" w14:textId="406F8C4E" w:rsidR="00162B8E" w:rsidRPr="00800E81" w:rsidRDefault="00EA78AA" w:rsidP="00CE134E">
      <w:pPr>
        <w:spacing w:after="0" w:line="240" w:lineRule="auto"/>
        <w:jc w:val="both"/>
        <w:rPr>
          <w:rFonts w:ascii="Arial" w:hAnsi="Arial" w:cs="Arial"/>
          <w:bCs/>
          <w:sz w:val="24"/>
          <w:szCs w:val="24"/>
        </w:rPr>
      </w:pPr>
      <w:r w:rsidRPr="00800E81">
        <w:rPr>
          <w:rFonts w:ascii="Arial" w:hAnsi="Arial" w:cs="Arial"/>
          <w:bCs/>
          <w:sz w:val="24"/>
          <w:szCs w:val="24"/>
        </w:rPr>
        <w:t xml:space="preserve">This report is intended to provide an </w:t>
      </w:r>
      <w:r w:rsidR="00C36906" w:rsidRPr="00800E81">
        <w:rPr>
          <w:rFonts w:ascii="Arial" w:hAnsi="Arial" w:cs="Arial"/>
          <w:bCs/>
          <w:sz w:val="24"/>
          <w:szCs w:val="24"/>
        </w:rPr>
        <w:t>overview</w:t>
      </w:r>
      <w:r w:rsidRPr="00800E81">
        <w:rPr>
          <w:rFonts w:ascii="Arial" w:hAnsi="Arial" w:cs="Arial"/>
          <w:bCs/>
          <w:sz w:val="24"/>
          <w:szCs w:val="24"/>
        </w:rPr>
        <w:t xml:space="preserve"> for the City Deal Executive and Stewardship Board</w:t>
      </w:r>
      <w:r w:rsidR="00F36586" w:rsidRPr="00800E81">
        <w:rPr>
          <w:rFonts w:ascii="Arial" w:hAnsi="Arial" w:cs="Arial"/>
          <w:bCs/>
          <w:sz w:val="24"/>
          <w:szCs w:val="24"/>
        </w:rPr>
        <w:t xml:space="preserve"> on</w:t>
      </w:r>
      <w:r w:rsidRPr="00800E81">
        <w:rPr>
          <w:rFonts w:ascii="Arial" w:hAnsi="Arial" w:cs="Arial"/>
          <w:bCs/>
          <w:sz w:val="24"/>
          <w:szCs w:val="24"/>
        </w:rPr>
        <w:t xml:space="preserve"> </w:t>
      </w:r>
      <w:r w:rsidR="00F36586" w:rsidRPr="00800E81">
        <w:rPr>
          <w:rFonts w:ascii="Arial" w:hAnsi="Arial" w:cs="Arial"/>
          <w:bCs/>
          <w:sz w:val="24"/>
          <w:szCs w:val="24"/>
        </w:rPr>
        <w:t>project activity and programme performance</w:t>
      </w:r>
      <w:r w:rsidR="00C36906" w:rsidRPr="00800E81">
        <w:rPr>
          <w:rFonts w:ascii="Arial" w:hAnsi="Arial" w:cs="Arial"/>
          <w:bCs/>
          <w:sz w:val="24"/>
          <w:szCs w:val="24"/>
        </w:rPr>
        <w:t>.</w:t>
      </w:r>
      <w:r w:rsidR="00D84428" w:rsidRPr="00800E81">
        <w:rPr>
          <w:rFonts w:ascii="Arial" w:hAnsi="Arial" w:cs="Arial"/>
          <w:bCs/>
          <w:sz w:val="24"/>
          <w:szCs w:val="24"/>
        </w:rPr>
        <w:t xml:space="preserve">  </w:t>
      </w:r>
      <w:r w:rsidR="00162B8E" w:rsidRPr="00800E81">
        <w:rPr>
          <w:rFonts w:ascii="Arial" w:hAnsi="Arial" w:cs="Arial"/>
          <w:bCs/>
          <w:sz w:val="24"/>
          <w:szCs w:val="24"/>
        </w:rPr>
        <w:t>T</w:t>
      </w:r>
      <w:r w:rsidR="00F36586" w:rsidRPr="00800E81">
        <w:rPr>
          <w:rFonts w:ascii="Arial" w:hAnsi="Arial" w:cs="Arial"/>
          <w:bCs/>
          <w:sz w:val="24"/>
          <w:szCs w:val="24"/>
        </w:rPr>
        <w:t>he report draws together in one place</w:t>
      </w:r>
      <w:r w:rsidR="002640C6" w:rsidRPr="00800E81">
        <w:rPr>
          <w:rFonts w:ascii="Arial" w:hAnsi="Arial" w:cs="Arial"/>
          <w:bCs/>
          <w:sz w:val="24"/>
          <w:szCs w:val="24"/>
        </w:rPr>
        <w:t>,</w:t>
      </w:r>
      <w:r w:rsidR="00F36586" w:rsidRPr="00800E81">
        <w:rPr>
          <w:rFonts w:ascii="Arial" w:hAnsi="Arial" w:cs="Arial"/>
          <w:bCs/>
          <w:sz w:val="24"/>
          <w:szCs w:val="24"/>
        </w:rPr>
        <w:t xml:space="preserve"> </w:t>
      </w:r>
      <w:r w:rsidR="00162B8E" w:rsidRPr="00800E81">
        <w:rPr>
          <w:rFonts w:ascii="Arial" w:hAnsi="Arial" w:cs="Arial"/>
          <w:bCs/>
          <w:sz w:val="24"/>
          <w:szCs w:val="24"/>
        </w:rPr>
        <w:t xml:space="preserve">the </w:t>
      </w:r>
      <w:r w:rsidR="00C36906" w:rsidRPr="00800E81">
        <w:rPr>
          <w:rFonts w:ascii="Arial" w:hAnsi="Arial" w:cs="Arial"/>
          <w:bCs/>
          <w:sz w:val="24"/>
          <w:szCs w:val="24"/>
        </w:rPr>
        <w:t>following updates:-</w:t>
      </w:r>
    </w:p>
    <w:p w14:paraId="060EF60F" w14:textId="0702550D" w:rsidR="00C36906" w:rsidRPr="00EE3176" w:rsidRDefault="00C36906" w:rsidP="00CE134E">
      <w:pPr>
        <w:spacing w:after="0" w:line="240" w:lineRule="auto"/>
        <w:jc w:val="both"/>
        <w:rPr>
          <w:rFonts w:ascii="Arial" w:hAnsi="Arial" w:cs="Arial"/>
          <w:bCs/>
          <w:sz w:val="24"/>
          <w:szCs w:val="24"/>
          <w:highlight w:val="yellow"/>
        </w:rPr>
      </w:pPr>
    </w:p>
    <w:p w14:paraId="529974DD" w14:textId="77777777" w:rsidR="008E02C8" w:rsidRPr="008E02C8" w:rsidRDefault="008E02C8" w:rsidP="00D13626">
      <w:pPr>
        <w:pStyle w:val="ListParagraph"/>
        <w:numPr>
          <w:ilvl w:val="0"/>
          <w:numId w:val="18"/>
        </w:numPr>
        <w:jc w:val="both"/>
        <w:rPr>
          <w:rFonts w:ascii="Arial" w:hAnsi="Arial" w:cs="Arial"/>
          <w:sz w:val="24"/>
          <w:szCs w:val="24"/>
        </w:rPr>
      </w:pPr>
      <w:r w:rsidRPr="008E02C8">
        <w:rPr>
          <w:rFonts w:ascii="Arial" w:hAnsi="Arial" w:cs="Arial"/>
          <w:sz w:val="24"/>
          <w:szCs w:val="24"/>
        </w:rPr>
        <w:t>Homes England Quarter 4 (2022/23) and Quarters 1 &amp; 2 (2023/24) Monitoring Reports (Appendix A and B)</w:t>
      </w:r>
    </w:p>
    <w:p w14:paraId="16D1B36D" w14:textId="0097ED46" w:rsidR="00C36906" w:rsidRPr="008739C5" w:rsidRDefault="00C36906" w:rsidP="00D13626">
      <w:pPr>
        <w:pStyle w:val="ListParagraph"/>
        <w:numPr>
          <w:ilvl w:val="0"/>
          <w:numId w:val="18"/>
        </w:numPr>
        <w:spacing w:after="0" w:line="240" w:lineRule="auto"/>
        <w:jc w:val="both"/>
        <w:rPr>
          <w:rFonts w:ascii="Arial" w:hAnsi="Arial" w:cs="Arial"/>
          <w:bCs/>
          <w:sz w:val="24"/>
          <w:szCs w:val="24"/>
        </w:rPr>
      </w:pPr>
      <w:r w:rsidRPr="008739C5">
        <w:rPr>
          <w:rFonts w:ascii="Arial" w:hAnsi="Arial" w:cs="Arial"/>
          <w:bCs/>
          <w:sz w:val="24"/>
          <w:szCs w:val="24"/>
        </w:rPr>
        <w:t>Economic and Social Value Update</w:t>
      </w:r>
      <w:r w:rsidR="009B4811">
        <w:rPr>
          <w:rFonts w:ascii="Arial" w:hAnsi="Arial" w:cs="Arial"/>
          <w:bCs/>
          <w:sz w:val="24"/>
          <w:szCs w:val="24"/>
        </w:rPr>
        <w:t xml:space="preserve"> Report (Appendix </w:t>
      </w:r>
      <w:r w:rsidR="008E02C8">
        <w:rPr>
          <w:rFonts w:ascii="Arial" w:hAnsi="Arial" w:cs="Arial"/>
          <w:bCs/>
          <w:sz w:val="24"/>
          <w:szCs w:val="24"/>
        </w:rPr>
        <w:t>C</w:t>
      </w:r>
      <w:r w:rsidR="009B4811">
        <w:rPr>
          <w:rFonts w:ascii="Arial" w:hAnsi="Arial" w:cs="Arial"/>
          <w:bCs/>
          <w:sz w:val="24"/>
          <w:szCs w:val="24"/>
        </w:rPr>
        <w:t>)</w:t>
      </w:r>
    </w:p>
    <w:p w14:paraId="1AEF3758" w14:textId="648DDAE8" w:rsidR="00C36906" w:rsidRDefault="00C36906" w:rsidP="00D13626">
      <w:pPr>
        <w:pStyle w:val="ListParagraph"/>
        <w:numPr>
          <w:ilvl w:val="0"/>
          <w:numId w:val="18"/>
        </w:numPr>
        <w:spacing w:after="0" w:line="240" w:lineRule="auto"/>
        <w:jc w:val="both"/>
        <w:rPr>
          <w:rFonts w:ascii="Arial" w:hAnsi="Arial" w:cs="Arial"/>
          <w:bCs/>
          <w:sz w:val="24"/>
          <w:szCs w:val="24"/>
        </w:rPr>
      </w:pPr>
      <w:r w:rsidRPr="008739C5">
        <w:rPr>
          <w:rFonts w:ascii="Arial" w:hAnsi="Arial" w:cs="Arial"/>
          <w:bCs/>
          <w:sz w:val="24"/>
          <w:szCs w:val="24"/>
        </w:rPr>
        <w:t>Infrastructure Projects Quarter 4 Monitoring Report</w:t>
      </w:r>
      <w:r w:rsidR="009B4811">
        <w:rPr>
          <w:rFonts w:ascii="Arial" w:hAnsi="Arial" w:cs="Arial"/>
          <w:bCs/>
          <w:sz w:val="24"/>
          <w:szCs w:val="24"/>
        </w:rPr>
        <w:t xml:space="preserve"> (Appendices </w:t>
      </w:r>
      <w:r w:rsidR="00CF1E60">
        <w:rPr>
          <w:rFonts w:ascii="Arial" w:hAnsi="Arial" w:cs="Arial"/>
          <w:bCs/>
          <w:sz w:val="24"/>
          <w:szCs w:val="24"/>
        </w:rPr>
        <w:t>D&amp;E)</w:t>
      </w:r>
      <w:r w:rsidR="009B4811">
        <w:rPr>
          <w:rFonts w:ascii="Arial" w:hAnsi="Arial" w:cs="Arial"/>
          <w:bCs/>
          <w:sz w:val="24"/>
          <w:szCs w:val="24"/>
        </w:rPr>
        <w:t>)</w:t>
      </w:r>
    </w:p>
    <w:p w14:paraId="31E2A820" w14:textId="4ABADE30" w:rsidR="00C36906" w:rsidRDefault="00C36906" w:rsidP="00D13626">
      <w:pPr>
        <w:pStyle w:val="ListParagraph"/>
        <w:numPr>
          <w:ilvl w:val="0"/>
          <w:numId w:val="18"/>
        </w:numPr>
        <w:spacing w:after="0" w:line="240" w:lineRule="auto"/>
        <w:jc w:val="both"/>
        <w:rPr>
          <w:rFonts w:ascii="Arial" w:hAnsi="Arial" w:cs="Arial"/>
          <w:bCs/>
          <w:sz w:val="24"/>
          <w:szCs w:val="24"/>
        </w:rPr>
      </w:pPr>
      <w:r w:rsidRPr="008739C5">
        <w:rPr>
          <w:rFonts w:ascii="Arial" w:hAnsi="Arial" w:cs="Arial"/>
          <w:bCs/>
          <w:sz w:val="24"/>
          <w:szCs w:val="24"/>
        </w:rPr>
        <w:t xml:space="preserve">End of Year </w:t>
      </w:r>
      <w:r w:rsidR="003756BE">
        <w:rPr>
          <w:rFonts w:ascii="Arial" w:hAnsi="Arial" w:cs="Arial"/>
          <w:bCs/>
          <w:sz w:val="24"/>
          <w:szCs w:val="24"/>
        </w:rPr>
        <w:t>9</w:t>
      </w:r>
      <w:r w:rsidRPr="008739C5">
        <w:rPr>
          <w:rFonts w:ascii="Arial" w:hAnsi="Arial" w:cs="Arial"/>
          <w:bCs/>
          <w:sz w:val="24"/>
          <w:szCs w:val="24"/>
        </w:rPr>
        <w:t xml:space="preserve"> Performance - Core Outpu</w:t>
      </w:r>
      <w:r w:rsidR="00B81721">
        <w:rPr>
          <w:rFonts w:ascii="Arial" w:hAnsi="Arial" w:cs="Arial"/>
          <w:bCs/>
          <w:sz w:val="24"/>
          <w:szCs w:val="24"/>
        </w:rPr>
        <w:t>ts</w:t>
      </w:r>
      <w:r w:rsidR="009B4811">
        <w:rPr>
          <w:rFonts w:ascii="Arial" w:hAnsi="Arial" w:cs="Arial"/>
          <w:bCs/>
          <w:sz w:val="24"/>
          <w:szCs w:val="24"/>
        </w:rPr>
        <w:t xml:space="preserve"> (set out below)</w:t>
      </w:r>
      <w:r w:rsidRPr="00B81721">
        <w:rPr>
          <w:rFonts w:ascii="Arial" w:hAnsi="Arial" w:cs="Arial"/>
          <w:bCs/>
          <w:sz w:val="24"/>
          <w:szCs w:val="24"/>
        </w:rPr>
        <w:t xml:space="preserve"> </w:t>
      </w:r>
    </w:p>
    <w:p w14:paraId="7DEAA74F" w14:textId="06040DF1" w:rsidR="00D13626" w:rsidRPr="00D13626" w:rsidRDefault="00D13626" w:rsidP="00D13626">
      <w:pPr>
        <w:pStyle w:val="ListParagraph"/>
        <w:numPr>
          <w:ilvl w:val="0"/>
          <w:numId w:val="18"/>
        </w:numPr>
        <w:spacing w:after="0" w:line="240" w:lineRule="auto"/>
        <w:jc w:val="both"/>
        <w:rPr>
          <w:rFonts w:ascii="Arial" w:hAnsi="Arial" w:cs="Arial"/>
          <w:bCs/>
          <w:sz w:val="24"/>
          <w:szCs w:val="24"/>
        </w:rPr>
      </w:pPr>
      <w:r w:rsidRPr="00D13626">
        <w:rPr>
          <w:rFonts w:ascii="Arial" w:hAnsi="Arial" w:cs="Arial"/>
          <w:bCs/>
          <w:sz w:val="24"/>
          <w:szCs w:val="24"/>
        </w:rPr>
        <w:t>Employment and Skills Monitoring Report (Appendix F)</w:t>
      </w:r>
    </w:p>
    <w:p w14:paraId="2D929730" w14:textId="508A6F9B" w:rsidR="00EA78AA" w:rsidRPr="00EE3176" w:rsidRDefault="00EA78AA" w:rsidP="00CE134E">
      <w:pPr>
        <w:spacing w:after="0" w:line="240" w:lineRule="auto"/>
        <w:jc w:val="both"/>
        <w:rPr>
          <w:rFonts w:ascii="Arial" w:hAnsi="Arial" w:cs="Arial"/>
          <w:b/>
          <w:sz w:val="24"/>
          <w:szCs w:val="24"/>
          <w:highlight w:val="yellow"/>
        </w:rPr>
      </w:pPr>
    </w:p>
    <w:p w14:paraId="288B80FF" w14:textId="45042307" w:rsidR="003D2BD4" w:rsidRDefault="00D13626" w:rsidP="57E70DBE">
      <w:pPr>
        <w:jc w:val="both"/>
        <w:rPr>
          <w:rFonts w:ascii="Arial" w:hAnsi="Arial" w:cs="Arial"/>
          <w:b/>
          <w:bCs/>
          <w:sz w:val="24"/>
          <w:szCs w:val="24"/>
        </w:rPr>
      </w:pPr>
      <w:proofErr w:type="spellStart"/>
      <w:r>
        <w:rPr>
          <w:rFonts w:ascii="Arial" w:hAnsi="Arial" w:cs="Arial"/>
          <w:b/>
          <w:bCs/>
          <w:sz w:val="24"/>
          <w:szCs w:val="24"/>
        </w:rPr>
        <w:lastRenderedPageBreak/>
        <w:t>i</w:t>
      </w:r>
      <w:proofErr w:type="spellEnd"/>
      <w:r w:rsidR="003D2BD4">
        <w:rPr>
          <w:rFonts w:ascii="Arial" w:hAnsi="Arial" w:cs="Arial"/>
          <w:b/>
          <w:bCs/>
          <w:sz w:val="24"/>
          <w:szCs w:val="24"/>
        </w:rPr>
        <w:t>. Homes England Quarter 4</w:t>
      </w:r>
      <w:r w:rsidR="008E02C8">
        <w:rPr>
          <w:rFonts w:ascii="Arial" w:hAnsi="Arial" w:cs="Arial"/>
          <w:b/>
          <w:bCs/>
          <w:sz w:val="24"/>
          <w:szCs w:val="24"/>
        </w:rPr>
        <w:t xml:space="preserve"> (2022/23) and Quarters 1 &amp; 2 (2023/24)</w:t>
      </w:r>
      <w:r w:rsidR="003D2BD4">
        <w:rPr>
          <w:rFonts w:ascii="Arial" w:hAnsi="Arial" w:cs="Arial"/>
          <w:b/>
          <w:bCs/>
          <w:sz w:val="24"/>
          <w:szCs w:val="24"/>
        </w:rPr>
        <w:t xml:space="preserve"> Monitoring Report</w:t>
      </w:r>
      <w:r w:rsidR="008E02C8">
        <w:rPr>
          <w:rFonts w:ascii="Arial" w:hAnsi="Arial" w:cs="Arial"/>
          <w:b/>
          <w:bCs/>
          <w:sz w:val="24"/>
          <w:szCs w:val="24"/>
        </w:rPr>
        <w:t>s</w:t>
      </w:r>
      <w:r w:rsidR="003D2BD4">
        <w:rPr>
          <w:rFonts w:ascii="Arial" w:hAnsi="Arial" w:cs="Arial"/>
          <w:b/>
          <w:bCs/>
          <w:sz w:val="24"/>
          <w:szCs w:val="24"/>
        </w:rPr>
        <w:t xml:space="preserve"> (Appendix A</w:t>
      </w:r>
      <w:r w:rsidR="008E02C8">
        <w:rPr>
          <w:rFonts w:ascii="Arial" w:hAnsi="Arial" w:cs="Arial"/>
          <w:b/>
          <w:bCs/>
          <w:sz w:val="24"/>
          <w:szCs w:val="24"/>
        </w:rPr>
        <w:t xml:space="preserve"> and B</w:t>
      </w:r>
      <w:r w:rsidR="003D2BD4">
        <w:rPr>
          <w:rFonts w:ascii="Arial" w:hAnsi="Arial" w:cs="Arial"/>
          <w:b/>
          <w:bCs/>
          <w:sz w:val="24"/>
          <w:szCs w:val="24"/>
        </w:rPr>
        <w:t>)</w:t>
      </w:r>
    </w:p>
    <w:p w14:paraId="79F9D4CF" w14:textId="312D543F" w:rsidR="003D2BD4" w:rsidRDefault="008E02C8" w:rsidP="001D4C40">
      <w:pPr>
        <w:spacing w:line="240" w:lineRule="auto"/>
        <w:jc w:val="both"/>
        <w:rPr>
          <w:rFonts w:ascii="Arial" w:hAnsi="Arial" w:cs="Arial"/>
          <w:sz w:val="24"/>
          <w:szCs w:val="24"/>
        </w:rPr>
      </w:pPr>
      <w:r>
        <w:rPr>
          <w:rFonts w:ascii="Arial" w:hAnsi="Arial" w:cs="Arial"/>
          <w:sz w:val="24"/>
          <w:szCs w:val="24"/>
        </w:rPr>
        <w:t>Two Homes England Monitoring Reports are attached as follows:-</w:t>
      </w:r>
    </w:p>
    <w:p w14:paraId="3305D552" w14:textId="5F231FE1" w:rsidR="008E02C8" w:rsidRPr="008E02C8" w:rsidRDefault="008E02C8" w:rsidP="001D4C40">
      <w:pPr>
        <w:pStyle w:val="ListParagraph"/>
        <w:numPr>
          <w:ilvl w:val="0"/>
          <w:numId w:val="16"/>
        </w:numPr>
        <w:spacing w:line="240" w:lineRule="auto"/>
        <w:jc w:val="both"/>
        <w:rPr>
          <w:rFonts w:ascii="Arial" w:hAnsi="Arial" w:cs="Arial"/>
          <w:sz w:val="24"/>
          <w:szCs w:val="24"/>
        </w:rPr>
      </w:pPr>
      <w:r w:rsidRPr="008E02C8">
        <w:rPr>
          <w:rFonts w:ascii="Arial" w:hAnsi="Arial" w:cs="Arial"/>
          <w:sz w:val="24"/>
          <w:szCs w:val="24"/>
        </w:rPr>
        <w:t>Appendix A – Quarter 4 2022/23 to end March 2023</w:t>
      </w:r>
    </w:p>
    <w:p w14:paraId="618ADE64" w14:textId="001423B1" w:rsidR="008E02C8" w:rsidRPr="008E02C8" w:rsidRDefault="008E02C8" w:rsidP="001D4C40">
      <w:pPr>
        <w:pStyle w:val="ListParagraph"/>
        <w:numPr>
          <w:ilvl w:val="0"/>
          <w:numId w:val="16"/>
        </w:numPr>
        <w:spacing w:line="240" w:lineRule="auto"/>
        <w:jc w:val="both"/>
        <w:rPr>
          <w:rFonts w:ascii="Arial" w:hAnsi="Arial" w:cs="Arial"/>
          <w:sz w:val="24"/>
          <w:szCs w:val="24"/>
        </w:rPr>
      </w:pPr>
      <w:r w:rsidRPr="008E02C8">
        <w:rPr>
          <w:rFonts w:ascii="Arial" w:hAnsi="Arial" w:cs="Arial"/>
          <w:sz w:val="24"/>
          <w:szCs w:val="24"/>
        </w:rPr>
        <w:t>Appendix B – Quarters 1 &amp; 2 2023/24 to end September 2023.</w:t>
      </w:r>
    </w:p>
    <w:p w14:paraId="1FA9EFE1" w14:textId="29E085E3" w:rsidR="008E02C8" w:rsidRDefault="008E02C8" w:rsidP="001D4C40">
      <w:pPr>
        <w:spacing w:line="240" w:lineRule="auto"/>
        <w:jc w:val="both"/>
        <w:rPr>
          <w:rFonts w:ascii="Arial" w:hAnsi="Arial" w:cs="Arial"/>
          <w:sz w:val="24"/>
          <w:szCs w:val="24"/>
        </w:rPr>
      </w:pPr>
      <w:r>
        <w:rPr>
          <w:rFonts w:ascii="Arial" w:hAnsi="Arial" w:cs="Arial"/>
          <w:sz w:val="24"/>
          <w:szCs w:val="24"/>
        </w:rPr>
        <w:t>The papers report that to date, the following has been delivered:-</w:t>
      </w:r>
    </w:p>
    <w:p w14:paraId="2EF9673B" w14:textId="77777777" w:rsidR="008E02C8" w:rsidRDefault="008E02C8" w:rsidP="001D4C40">
      <w:pPr>
        <w:pStyle w:val="ListParagraph"/>
        <w:numPr>
          <w:ilvl w:val="0"/>
          <w:numId w:val="17"/>
        </w:numPr>
        <w:spacing w:line="240" w:lineRule="auto"/>
        <w:jc w:val="both"/>
        <w:rPr>
          <w:rFonts w:ascii="Arial" w:hAnsi="Arial" w:cs="Arial"/>
          <w:sz w:val="24"/>
          <w:szCs w:val="24"/>
        </w:rPr>
      </w:pPr>
      <w:r>
        <w:rPr>
          <w:rFonts w:ascii="Arial" w:hAnsi="Arial" w:cs="Arial"/>
          <w:sz w:val="24"/>
          <w:szCs w:val="24"/>
        </w:rPr>
        <w:t>1,784 housing completions on Homes England sites against a target of 4,066</w:t>
      </w:r>
    </w:p>
    <w:p w14:paraId="56032648" w14:textId="7B96250B" w:rsidR="008E02C8" w:rsidRDefault="008E02C8" w:rsidP="001D4C40">
      <w:pPr>
        <w:pStyle w:val="ListParagraph"/>
        <w:numPr>
          <w:ilvl w:val="0"/>
          <w:numId w:val="17"/>
        </w:numPr>
        <w:spacing w:line="240" w:lineRule="auto"/>
        <w:jc w:val="both"/>
        <w:rPr>
          <w:rFonts w:ascii="Arial" w:hAnsi="Arial" w:cs="Arial"/>
          <w:sz w:val="24"/>
          <w:szCs w:val="24"/>
        </w:rPr>
      </w:pPr>
      <w:r>
        <w:rPr>
          <w:rFonts w:ascii="Arial" w:hAnsi="Arial" w:cs="Arial"/>
          <w:sz w:val="24"/>
          <w:szCs w:val="24"/>
        </w:rPr>
        <w:t>454 of the 1,784 completed units are affordable/social rented/shared ownership</w:t>
      </w:r>
    </w:p>
    <w:p w14:paraId="4A180271" w14:textId="4204D74C" w:rsidR="00CF1E60" w:rsidRDefault="00CF1E60" w:rsidP="001D4C40">
      <w:pPr>
        <w:pStyle w:val="ListParagraph"/>
        <w:numPr>
          <w:ilvl w:val="0"/>
          <w:numId w:val="17"/>
        </w:numPr>
        <w:spacing w:line="240" w:lineRule="auto"/>
        <w:jc w:val="both"/>
        <w:rPr>
          <w:rFonts w:ascii="Arial" w:hAnsi="Arial" w:cs="Arial"/>
          <w:sz w:val="24"/>
          <w:szCs w:val="24"/>
        </w:rPr>
      </w:pPr>
      <w:r>
        <w:rPr>
          <w:rFonts w:ascii="Arial" w:hAnsi="Arial" w:cs="Arial"/>
          <w:sz w:val="24"/>
          <w:szCs w:val="24"/>
        </w:rPr>
        <w:t>Outline planning consent secured for all Homes England sites</w:t>
      </w:r>
    </w:p>
    <w:p w14:paraId="257D15FB" w14:textId="1B829B04" w:rsidR="008E02C8" w:rsidRPr="008E02C8" w:rsidRDefault="008E02C8" w:rsidP="001D4C40">
      <w:pPr>
        <w:pStyle w:val="ListParagraph"/>
        <w:numPr>
          <w:ilvl w:val="0"/>
          <w:numId w:val="17"/>
        </w:numPr>
        <w:spacing w:line="240" w:lineRule="auto"/>
        <w:jc w:val="both"/>
        <w:rPr>
          <w:rFonts w:ascii="Arial" w:hAnsi="Arial" w:cs="Arial"/>
          <w:sz w:val="24"/>
          <w:szCs w:val="24"/>
        </w:rPr>
      </w:pPr>
      <w:r>
        <w:rPr>
          <w:rFonts w:ascii="Arial" w:hAnsi="Arial" w:cs="Arial"/>
          <w:sz w:val="24"/>
          <w:szCs w:val="24"/>
        </w:rPr>
        <w:t xml:space="preserve">£25.2m in Homes England Grant has been paid into the Deal with c.£12.3m remaining to be paid. </w:t>
      </w:r>
    </w:p>
    <w:p w14:paraId="6697B9FF" w14:textId="640C80F5" w:rsidR="009B4811" w:rsidRDefault="00D13626" w:rsidP="57E70DBE">
      <w:pPr>
        <w:jc w:val="both"/>
        <w:rPr>
          <w:rFonts w:ascii="Arial" w:hAnsi="Arial" w:cs="Arial"/>
          <w:b/>
          <w:bCs/>
          <w:sz w:val="24"/>
          <w:szCs w:val="24"/>
        </w:rPr>
      </w:pPr>
      <w:r>
        <w:rPr>
          <w:rFonts w:ascii="Arial" w:hAnsi="Arial" w:cs="Arial"/>
          <w:b/>
          <w:bCs/>
          <w:sz w:val="24"/>
          <w:szCs w:val="24"/>
        </w:rPr>
        <w:t>ii</w:t>
      </w:r>
      <w:r w:rsidR="009B4811" w:rsidRPr="009B4811">
        <w:rPr>
          <w:rFonts w:ascii="Arial" w:hAnsi="Arial" w:cs="Arial"/>
          <w:b/>
          <w:bCs/>
          <w:sz w:val="24"/>
          <w:szCs w:val="24"/>
        </w:rPr>
        <w:t>. Economic and Social Value Update Report</w:t>
      </w:r>
      <w:r w:rsidR="009B4811">
        <w:rPr>
          <w:rFonts w:ascii="Arial" w:hAnsi="Arial" w:cs="Arial"/>
          <w:b/>
          <w:bCs/>
          <w:sz w:val="24"/>
          <w:szCs w:val="24"/>
        </w:rPr>
        <w:t xml:space="preserve"> (Appendix </w:t>
      </w:r>
      <w:r w:rsidR="00CF1E60">
        <w:rPr>
          <w:rFonts w:ascii="Arial" w:hAnsi="Arial" w:cs="Arial"/>
          <w:b/>
          <w:bCs/>
          <w:sz w:val="24"/>
          <w:szCs w:val="24"/>
        </w:rPr>
        <w:t>C</w:t>
      </w:r>
      <w:r w:rsidR="009B4811">
        <w:rPr>
          <w:rFonts w:ascii="Arial" w:hAnsi="Arial" w:cs="Arial"/>
          <w:b/>
          <w:bCs/>
          <w:sz w:val="24"/>
          <w:szCs w:val="24"/>
        </w:rPr>
        <w:t>)</w:t>
      </w:r>
    </w:p>
    <w:p w14:paraId="6EA81B18" w14:textId="0A269550" w:rsidR="007870A3" w:rsidRDefault="00F16E02" w:rsidP="001D4C40">
      <w:pPr>
        <w:spacing w:line="0" w:lineRule="atLeast"/>
        <w:jc w:val="both"/>
        <w:rPr>
          <w:rFonts w:ascii="Arial" w:hAnsi="Arial" w:cs="Arial"/>
          <w:sz w:val="24"/>
          <w:szCs w:val="24"/>
        </w:rPr>
      </w:pPr>
      <w:r>
        <w:rPr>
          <w:rFonts w:ascii="Arial" w:hAnsi="Arial" w:cs="Arial"/>
          <w:sz w:val="24"/>
          <w:szCs w:val="24"/>
        </w:rPr>
        <w:t xml:space="preserve">Attached </w:t>
      </w:r>
      <w:r w:rsidR="00D847B6">
        <w:rPr>
          <w:rFonts w:ascii="Arial" w:hAnsi="Arial" w:cs="Arial"/>
          <w:sz w:val="24"/>
          <w:szCs w:val="24"/>
        </w:rPr>
        <w:t>as an a</w:t>
      </w:r>
      <w:r>
        <w:rPr>
          <w:rFonts w:ascii="Arial" w:hAnsi="Arial" w:cs="Arial"/>
          <w:sz w:val="24"/>
          <w:szCs w:val="24"/>
        </w:rPr>
        <w:t xml:space="preserve">ppendix </w:t>
      </w:r>
      <w:r w:rsidR="00D847B6">
        <w:rPr>
          <w:rFonts w:ascii="Arial" w:hAnsi="Arial" w:cs="Arial"/>
          <w:sz w:val="24"/>
          <w:szCs w:val="24"/>
        </w:rPr>
        <w:t>i</w:t>
      </w:r>
      <w:r>
        <w:rPr>
          <w:rFonts w:ascii="Arial" w:hAnsi="Arial" w:cs="Arial"/>
          <w:sz w:val="24"/>
          <w:szCs w:val="24"/>
        </w:rPr>
        <w:t xml:space="preserve">s a progress update on project level social value delivery across several key developments, including </w:t>
      </w:r>
      <w:proofErr w:type="spellStart"/>
      <w:r>
        <w:rPr>
          <w:rFonts w:ascii="Arial" w:hAnsi="Arial" w:cs="Arial"/>
          <w:sz w:val="24"/>
          <w:szCs w:val="24"/>
        </w:rPr>
        <w:t>D'Urton</w:t>
      </w:r>
      <w:proofErr w:type="spellEnd"/>
      <w:r>
        <w:rPr>
          <w:rFonts w:ascii="Arial" w:hAnsi="Arial" w:cs="Arial"/>
          <w:sz w:val="24"/>
          <w:szCs w:val="24"/>
        </w:rPr>
        <w:t xml:space="preserve"> Grange</w:t>
      </w:r>
      <w:r w:rsidR="00674FA6">
        <w:rPr>
          <w:rFonts w:ascii="Arial" w:hAnsi="Arial" w:cs="Arial"/>
          <w:sz w:val="24"/>
          <w:szCs w:val="24"/>
        </w:rPr>
        <w:t xml:space="preserve"> and </w:t>
      </w:r>
      <w:proofErr w:type="spellStart"/>
      <w:r w:rsidR="00674FA6">
        <w:rPr>
          <w:rFonts w:ascii="Arial" w:hAnsi="Arial" w:cs="Arial"/>
          <w:sz w:val="24"/>
          <w:szCs w:val="24"/>
        </w:rPr>
        <w:t>Farington</w:t>
      </w:r>
      <w:proofErr w:type="spellEnd"/>
      <w:r w:rsidR="00674FA6">
        <w:rPr>
          <w:rFonts w:ascii="Arial" w:hAnsi="Arial" w:cs="Arial"/>
          <w:sz w:val="24"/>
          <w:szCs w:val="24"/>
        </w:rPr>
        <w:t xml:space="preserve"> Mews</w:t>
      </w:r>
      <w:r>
        <w:rPr>
          <w:rFonts w:ascii="Arial" w:hAnsi="Arial" w:cs="Arial"/>
          <w:sz w:val="24"/>
          <w:szCs w:val="24"/>
        </w:rPr>
        <w:t xml:space="preserve"> housing development</w:t>
      </w:r>
      <w:r w:rsidR="00674FA6">
        <w:rPr>
          <w:rFonts w:ascii="Arial" w:hAnsi="Arial" w:cs="Arial"/>
          <w:sz w:val="24"/>
          <w:szCs w:val="24"/>
        </w:rPr>
        <w:t>s</w:t>
      </w:r>
      <w:r>
        <w:rPr>
          <w:rFonts w:ascii="Arial" w:hAnsi="Arial" w:cs="Arial"/>
          <w:sz w:val="24"/>
          <w:szCs w:val="24"/>
        </w:rPr>
        <w:t xml:space="preserve">, refurbishment works at The Harris </w:t>
      </w:r>
      <w:r w:rsidRPr="001547E0">
        <w:rPr>
          <w:rFonts w:ascii="Arial" w:hAnsi="Arial" w:cs="Arial"/>
          <w:sz w:val="24"/>
          <w:szCs w:val="24"/>
        </w:rPr>
        <w:t>Museum, Art Gallery and Library</w:t>
      </w:r>
      <w:r>
        <w:rPr>
          <w:rFonts w:ascii="Arial" w:hAnsi="Arial" w:cs="Arial"/>
          <w:sz w:val="24"/>
          <w:szCs w:val="24"/>
        </w:rPr>
        <w:t xml:space="preserve">, Animate </w:t>
      </w:r>
      <w:r w:rsidRPr="001671BF">
        <w:rPr>
          <w:rFonts w:ascii="Arial" w:hAnsi="Arial" w:cs="Arial"/>
          <w:sz w:val="24"/>
          <w:szCs w:val="24"/>
        </w:rPr>
        <w:t>entertainment, cinema and leisure schem</w:t>
      </w:r>
      <w:r>
        <w:rPr>
          <w:rFonts w:ascii="Arial" w:hAnsi="Arial" w:cs="Arial"/>
          <w:sz w:val="24"/>
          <w:szCs w:val="24"/>
        </w:rPr>
        <w:t>e and a number of Employment sites now tracked via Preston City Council's Building Foundations programme</w:t>
      </w:r>
      <w:r w:rsidR="003D2BD4">
        <w:rPr>
          <w:rFonts w:ascii="Arial" w:hAnsi="Arial" w:cs="Arial"/>
          <w:sz w:val="24"/>
          <w:szCs w:val="24"/>
        </w:rPr>
        <w:t>.</w:t>
      </w:r>
    </w:p>
    <w:p w14:paraId="59B37639" w14:textId="4AC7BD9D" w:rsidR="004412F5" w:rsidRDefault="007870A3" w:rsidP="001D4C40">
      <w:pPr>
        <w:spacing w:line="0" w:lineRule="atLeast"/>
        <w:jc w:val="both"/>
        <w:rPr>
          <w:rFonts w:ascii="Arial" w:hAnsi="Arial" w:cs="Arial"/>
          <w:sz w:val="24"/>
          <w:szCs w:val="24"/>
        </w:rPr>
      </w:pPr>
      <w:r>
        <w:rPr>
          <w:rFonts w:ascii="Arial" w:hAnsi="Arial" w:cs="Arial"/>
          <w:sz w:val="24"/>
          <w:szCs w:val="24"/>
        </w:rPr>
        <w:t xml:space="preserve">Construction Careers Information Advice and Guidance events with Upholland High School and Southland High School have been held and </w:t>
      </w:r>
      <w:r w:rsidRPr="007870A3">
        <w:rPr>
          <w:rFonts w:ascii="Arial" w:hAnsi="Arial" w:cs="Arial"/>
          <w:sz w:val="24"/>
          <w:szCs w:val="24"/>
        </w:rPr>
        <w:t xml:space="preserve">11 apprenticeships </w:t>
      </w:r>
      <w:r>
        <w:rPr>
          <w:rFonts w:ascii="Arial" w:hAnsi="Arial" w:cs="Arial"/>
          <w:sz w:val="24"/>
          <w:szCs w:val="24"/>
        </w:rPr>
        <w:t xml:space="preserve">have been </w:t>
      </w:r>
      <w:r w:rsidRPr="007870A3">
        <w:rPr>
          <w:rFonts w:ascii="Arial" w:hAnsi="Arial" w:cs="Arial"/>
          <w:sz w:val="24"/>
          <w:szCs w:val="24"/>
        </w:rPr>
        <w:t>created including various trades such as Bricklaying</w:t>
      </w:r>
      <w:r>
        <w:rPr>
          <w:rFonts w:ascii="Arial" w:hAnsi="Arial" w:cs="Arial"/>
          <w:sz w:val="24"/>
          <w:szCs w:val="24"/>
        </w:rPr>
        <w:t>.</w:t>
      </w:r>
    </w:p>
    <w:p w14:paraId="6BC20394" w14:textId="77777777" w:rsidR="001D4C40" w:rsidRPr="002F5EBE" w:rsidRDefault="001D4C40" w:rsidP="001D4C40">
      <w:pPr>
        <w:spacing w:line="0" w:lineRule="atLeast"/>
        <w:jc w:val="both"/>
        <w:rPr>
          <w:rFonts w:ascii="Arial" w:hAnsi="Arial" w:cs="Arial"/>
          <w:sz w:val="24"/>
          <w:szCs w:val="24"/>
        </w:rPr>
      </w:pPr>
    </w:p>
    <w:p w14:paraId="09485376" w14:textId="2935B1A0" w:rsidR="001F0067" w:rsidRPr="002F5EBE" w:rsidRDefault="00D13626" w:rsidP="001D4C40">
      <w:pPr>
        <w:spacing w:after="0" w:line="0" w:lineRule="atLeast"/>
        <w:jc w:val="both"/>
        <w:rPr>
          <w:rFonts w:ascii="Arial" w:hAnsi="Arial" w:cs="Arial"/>
          <w:b/>
          <w:bCs/>
          <w:sz w:val="24"/>
          <w:szCs w:val="24"/>
        </w:rPr>
      </w:pPr>
      <w:r>
        <w:rPr>
          <w:rFonts w:ascii="Arial" w:hAnsi="Arial" w:cs="Arial"/>
          <w:b/>
          <w:bCs/>
          <w:sz w:val="24"/>
          <w:szCs w:val="24"/>
        </w:rPr>
        <w:t>iii</w:t>
      </w:r>
      <w:r w:rsidR="000039D0" w:rsidRPr="002F5EBE">
        <w:rPr>
          <w:rFonts w:ascii="Arial" w:hAnsi="Arial" w:cs="Arial"/>
          <w:b/>
          <w:bCs/>
          <w:sz w:val="24"/>
          <w:szCs w:val="24"/>
        </w:rPr>
        <w:t>.</w:t>
      </w:r>
      <w:r>
        <w:rPr>
          <w:rFonts w:ascii="Arial" w:hAnsi="Arial" w:cs="Arial"/>
          <w:b/>
          <w:bCs/>
          <w:sz w:val="24"/>
          <w:szCs w:val="24"/>
        </w:rPr>
        <w:t xml:space="preserve"> </w:t>
      </w:r>
      <w:r w:rsidR="004827CC" w:rsidRPr="002F5EBE">
        <w:rPr>
          <w:rFonts w:ascii="Arial" w:hAnsi="Arial" w:cs="Arial"/>
          <w:b/>
          <w:bCs/>
          <w:sz w:val="24"/>
          <w:szCs w:val="24"/>
        </w:rPr>
        <w:t xml:space="preserve">City Deal – </w:t>
      </w:r>
      <w:r w:rsidR="00CF1E60">
        <w:rPr>
          <w:rFonts w:ascii="Arial" w:hAnsi="Arial" w:cs="Arial"/>
          <w:b/>
          <w:bCs/>
          <w:sz w:val="24"/>
          <w:szCs w:val="24"/>
        </w:rPr>
        <w:t xml:space="preserve">Infrastructure Projects Quarterly Monitoring </w:t>
      </w:r>
      <w:r w:rsidR="009C214C" w:rsidRPr="002F5EBE">
        <w:rPr>
          <w:rFonts w:ascii="Arial" w:hAnsi="Arial" w:cs="Arial"/>
          <w:b/>
          <w:bCs/>
          <w:sz w:val="24"/>
          <w:szCs w:val="24"/>
        </w:rPr>
        <w:t>Reports</w:t>
      </w:r>
      <w:r w:rsidR="00CF1E60">
        <w:rPr>
          <w:rFonts w:ascii="Arial" w:hAnsi="Arial" w:cs="Arial"/>
          <w:b/>
          <w:bCs/>
          <w:sz w:val="24"/>
          <w:szCs w:val="24"/>
        </w:rPr>
        <w:t xml:space="preserve"> (Appendices D &amp; E)</w:t>
      </w:r>
    </w:p>
    <w:p w14:paraId="17DFDB4C" w14:textId="01ECA591" w:rsidR="009B610D" w:rsidRPr="002F5EBE" w:rsidRDefault="009B610D" w:rsidP="001D4C40">
      <w:pPr>
        <w:spacing w:after="0" w:line="0" w:lineRule="atLeast"/>
        <w:jc w:val="both"/>
        <w:rPr>
          <w:rFonts w:ascii="Arial" w:hAnsi="Arial" w:cs="Arial"/>
          <w:b/>
          <w:bCs/>
          <w:sz w:val="24"/>
          <w:szCs w:val="24"/>
        </w:rPr>
      </w:pPr>
    </w:p>
    <w:p w14:paraId="081CF7CD" w14:textId="75DE2A0F" w:rsidR="00D56CDA" w:rsidRPr="006835A9" w:rsidRDefault="00CF1E60" w:rsidP="001D4C40">
      <w:pPr>
        <w:spacing w:after="0" w:line="0" w:lineRule="atLeast"/>
        <w:jc w:val="both"/>
        <w:rPr>
          <w:rFonts w:ascii="Arial" w:hAnsi="Arial" w:cs="Arial"/>
          <w:sz w:val="24"/>
          <w:szCs w:val="24"/>
        </w:rPr>
      </w:pPr>
      <w:r w:rsidRPr="006835A9">
        <w:rPr>
          <w:rFonts w:ascii="Arial" w:hAnsi="Arial" w:cs="Arial"/>
          <w:sz w:val="24"/>
          <w:szCs w:val="24"/>
        </w:rPr>
        <w:t>City Deal Project Update Schedules are attached as follows:-</w:t>
      </w:r>
    </w:p>
    <w:p w14:paraId="403D0961" w14:textId="77777777" w:rsidR="00CF1E60" w:rsidRPr="00CF1E60" w:rsidRDefault="00CF1E60" w:rsidP="001D4C40">
      <w:pPr>
        <w:spacing w:after="0" w:line="0" w:lineRule="atLeast"/>
        <w:jc w:val="both"/>
        <w:rPr>
          <w:rFonts w:ascii="Arial" w:hAnsi="Arial" w:cs="Arial"/>
          <w:sz w:val="24"/>
          <w:szCs w:val="24"/>
          <w:highlight w:val="yellow"/>
        </w:rPr>
      </w:pPr>
    </w:p>
    <w:p w14:paraId="4CC7A075" w14:textId="013030D8" w:rsidR="00CF1E60" w:rsidRPr="008E02C8" w:rsidRDefault="00CF1E60" w:rsidP="001D4C40">
      <w:pPr>
        <w:pStyle w:val="ListParagraph"/>
        <w:numPr>
          <w:ilvl w:val="0"/>
          <w:numId w:val="16"/>
        </w:numPr>
        <w:spacing w:line="0" w:lineRule="atLeast"/>
        <w:jc w:val="both"/>
        <w:rPr>
          <w:rFonts w:ascii="Arial" w:hAnsi="Arial" w:cs="Arial"/>
          <w:sz w:val="24"/>
          <w:szCs w:val="24"/>
        </w:rPr>
      </w:pPr>
      <w:r w:rsidRPr="008E02C8">
        <w:rPr>
          <w:rFonts w:ascii="Arial" w:hAnsi="Arial" w:cs="Arial"/>
          <w:sz w:val="24"/>
          <w:szCs w:val="24"/>
        </w:rPr>
        <w:t xml:space="preserve">Appendix </w:t>
      </w:r>
      <w:r>
        <w:rPr>
          <w:rFonts w:ascii="Arial" w:hAnsi="Arial" w:cs="Arial"/>
          <w:sz w:val="24"/>
          <w:szCs w:val="24"/>
        </w:rPr>
        <w:t>D</w:t>
      </w:r>
      <w:r w:rsidRPr="008E02C8">
        <w:rPr>
          <w:rFonts w:ascii="Arial" w:hAnsi="Arial" w:cs="Arial"/>
          <w:sz w:val="24"/>
          <w:szCs w:val="24"/>
        </w:rPr>
        <w:t xml:space="preserve"> – Quarter 4 2022/23 to end March 2023</w:t>
      </w:r>
    </w:p>
    <w:p w14:paraId="2163990C" w14:textId="0646332E" w:rsidR="00CF1E60" w:rsidRPr="008E02C8" w:rsidRDefault="00CF1E60" w:rsidP="001D4C40">
      <w:pPr>
        <w:pStyle w:val="ListParagraph"/>
        <w:numPr>
          <w:ilvl w:val="0"/>
          <w:numId w:val="16"/>
        </w:numPr>
        <w:spacing w:line="0" w:lineRule="atLeast"/>
        <w:jc w:val="both"/>
        <w:rPr>
          <w:rFonts w:ascii="Arial" w:hAnsi="Arial" w:cs="Arial"/>
          <w:sz w:val="24"/>
          <w:szCs w:val="24"/>
        </w:rPr>
      </w:pPr>
      <w:r w:rsidRPr="008E02C8">
        <w:rPr>
          <w:rFonts w:ascii="Arial" w:hAnsi="Arial" w:cs="Arial"/>
          <w:sz w:val="24"/>
          <w:szCs w:val="24"/>
        </w:rPr>
        <w:t xml:space="preserve">Appendix </w:t>
      </w:r>
      <w:r w:rsidR="005A723B">
        <w:rPr>
          <w:rFonts w:ascii="Arial" w:hAnsi="Arial" w:cs="Arial"/>
          <w:sz w:val="24"/>
          <w:szCs w:val="24"/>
        </w:rPr>
        <w:t>E</w:t>
      </w:r>
      <w:r w:rsidRPr="008E02C8">
        <w:rPr>
          <w:rFonts w:ascii="Arial" w:hAnsi="Arial" w:cs="Arial"/>
          <w:sz w:val="24"/>
          <w:szCs w:val="24"/>
        </w:rPr>
        <w:t xml:space="preserve"> – Quarters 1 &amp; 2 2023/24 to end September 2023.</w:t>
      </w:r>
    </w:p>
    <w:p w14:paraId="0D42CF99" w14:textId="0C47FAD6" w:rsidR="00D56CDA" w:rsidRPr="00EE3176" w:rsidRDefault="006835A9" w:rsidP="001D4C40">
      <w:pPr>
        <w:spacing w:after="0" w:line="0" w:lineRule="atLeast"/>
        <w:jc w:val="both"/>
        <w:rPr>
          <w:rFonts w:ascii="Arial" w:hAnsi="Arial" w:cs="Arial"/>
          <w:sz w:val="24"/>
          <w:szCs w:val="24"/>
          <w:highlight w:val="yellow"/>
        </w:rPr>
      </w:pPr>
      <w:r>
        <w:rPr>
          <w:rFonts w:ascii="Arial" w:hAnsi="Arial" w:cs="Arial"/>
          <w:sz w:val="24"/>
          <w:szCs w:val="24"/>
        </w:rPr>
        <w:t>The</w:t>
      </w:r>
      <w:r w:rsidR="00524626" w:rsidRPr="003F2BBF">
        <w:rPr>
          <w:rFonts w:ascii="Arial" w:hAnsi="Arial" w:cs="Arial"/>
          <w:sz w:val="24"/>
          <w:szCs w:val="24"/>
        </w:rPr>
        <w:t xml:space="preserve"> monitoring schedule</w:t>
      </w:r>
      <w:r>
        <w:rPr>
          <w:rFonts w:ascii="Arial" w:hAnsi="Arial" w:cs="Arial"/>
          <w:sz w:val="24"/>
          <w:szCs w:val="24"/>
        </w:rPr>
        <w:t xml:space="preserve">s referred to above, </w:t>
      </w:r>
      <w:r w:rsidR="00524626" w:rsidRPr="00B81721">
        <w:rPr>
          <w:rFonts w:ascii="Arial" w:hAnsi="Arial" w:cs="Arial"/>
          <w:sz w:val="24"/>
          <w:szCs w:val="24"/>
        </w:rPr>
        <w:t>set out progress on the live projects in the programme and provide a Red/Amber/Green</w:t>
      </w:r>
      <w:r w:rsidR="00524626" w:rsidRPr="003F2BBF">
        <w:rPr>
          <w:rFonts w:ascii="Arial" w:hAnsi="Arial" w:cs="Arial"/>
          <w:sz w:val="24"/>
          <w:szCs w:val="24"/>
        </w:rPr>
        <w:t xml:space="preserve"> (RAG) status for each of the schemes.  </w:t>
      </w:r>
      <w:r w:rsidR="001B3CC2" w:rsidRPr="003F2BBF">
        <w:rPr>
          <w:rFonts w:ascii="Arial" w:hAnsi="Arial" w:cs="Arial"/>
          <w:sz w:val="24"/>
          <w:szCs w:val="24"/>
        </w:rPr>
        <w:t>T</w:t>
      </w:r>
      <w:r w:rsidR="00524626" w:rsidRPr="003F2BBF">
        <w:rPr>
          <w:rFonts w:ascii="Arial" w:hAnsi="Arial" w:cs="Arial"/>
          <w:sz w:val="24"/>
          <w:szCs w:val="24"/>
        </w:rPr>
        <w:t>able</w:t>
      </w:r>
      <w:r w:rsidR="001B3CC2" w:rsidRPr="003F2BBF">
        <w:rPr>
          <w:rFonts w:ascii="Arial" w:hAnsi="Arial" w:cs="Arial"/>
          <w:sz w:val="24"/>
          <w:szCs w:val="24"/>
        </w:rPr>
        <w:t xml:space="preserve"> 1</w:t>
      </w:r>
      <w:r w:rsidR="00524626" w:rsidRPr="003F2BBF">
        <w:rPr>
          <w:rFonts w:ascii="Arial" w:hAnsi="Arial" w:cs="Arial"/>
          <w:sz w:val="24"/>
          <w:szCs w:val="24"/>
        </w:rPr>
        <w:t xml:space="preserve"> below provides a brief snapshot of the current status of </w:t>
      </w:r>
      <w:r w:rsidR="001B3CC2" w:rsidRPr="003F2BBF">
        <w:rPr>
          <w:rFonts w:ascii="Arial" w:hAnsi="Arial" w:cs="Arial"/>
          <w:sz w:val="24"/>
          <w:szCs w:val="24"/>
        </w:rPr>
        <w:t xml:space="preserve">all of </w:t>
      </w:r>
      <w:r w:rsidR="00524626" w:rsidRPr="003F2BBF">
        <w:rPr>
          <w:rFonts w:ascii="Arial" w:hAnsi="Arial" w:cs="Arial"/>
          <w:sz w:val="24"/>
          <w:szCs w:val="24"/>
        </w:rPr>
        <w:t>the schemes in the programme for quick reference.</w:t>
      </w:r>
    </w:p>
    <w:p w14:paraId="0E471665" w14:textId="5832E45A" w:rsidR="001B3CC2" w:rsidRPr="00EE3176" w:rsidRDefault="001B3CC2" w:rsidP="00CE134E">
      <w:pPr>
        <w:spacing w:after="0" w:line="240" w:lineRule="auto"/>
        <w:jc w:val="both"/>
        <w:rPr>
          <w:rFonts w:ascii="Arial" w:hAnsi="Arial" w:cs="Arial"/>
          <w:sz w:val="24"/>
          <w:szCs w:val="24"/>
          <w:highlight w:val="yellow"/>
        </w:rPr>
      </w:pPr>
    </w:p>
    <w:p w14:paraId="6D08B1AD" w14:textId="3D3CBC41" w:rsidR="001B3CC2" w:rsidRPr="00E5774D" w:rsidRDefault="001B3CC2" w:rsidP="00CE134E">
      <w:pPr>
        <w:spacing w:after="0"/>
        <w:jc w:val="both"/>
        <w:rPr>
          <w:rFonts w:ascii="Arial" w:hAnsi="Arial" w:cs="Arial"/>
          <w:bCs/>
          <w:sz w:val="18"/>
          <w:szCs w:val="18"/>
        </w:rPr>
      </w:pPr>
      <w:r w:rsidRPr="00E5774D">
        <w:rPr>
          <w:rFonts w:ascii="Arial" w:hAnsi="Arial" w:cs="Arial"/>
          <w:bCs/>
          <w:sz w:val="18"/>
          <w:szCs w:val="18"/>
        </w:rPr>
        <w:t xml:space="preserve">Table 1 </w:t>
      </w:r>
    </w:p>
    <w:tbl>
      <w:tblPr>
        <w:tblStyle w:val="TableGrid"/>
        <w:tblW w:w="5107" w:type="pct"/>
        <w:tblLayout w:type="fixed"/>
        <w:tblLook w:val="04A0" w:firstRow="1" w:lastRow="0" w:firstColumn="1" w:lastColumn="0" w:noHBand="0" w:noVBand="1"/>
      </w:tblPr>
      <w:tblGrid>
        <w:gridCol w:w="5098"/>
        <w:gridCol w:w="2977"/>
        <w:gridCol w:w="1134"/>
      </w:tblGrid>
      <w:tr w:rsidR="001B3CC2" w:rsidRPr="00EE3176" w14:paraId="4968F310" w14:textId="77777777">
        <w:tc>
          <w:tcPr>
            <w:tcW w:w="5098" w:type="dxa"/>
          </w:tcPr>
          <w:p w14:paraId="01952B38" w14:textId="77777777" w:rsidR="001B3CC2" w:rsidRPr="001D42DE" w:rsidRDefault="001B3CC2" w:rsidP="00CE134E">
            <w:pPr>
              <w:jc w:val="both"/>
              <w:rPr>
                <w:rFonts w:ascii="Arial" w:hAnsi="Arial" w:cs="Arial"/>
                <w:b/>
                <w:sz w:val="24"/>
                <w:szCs w:val="24"/>
              </w:rPr>
            </w:pPr>
            <w:r w:rsidRPr="001D42DE">
              <w:rPr>
                <w:rFonts w:ascii="Arial" w:hAnsi="Arial" w:cs="Arial"/>
                <w:b/>
                <w:sz w:val="24"/>
                <w:szCs w:val="24"/>
              </w:rPr>
              <w:t>Scheme name</w:t>
            </w:r>
          </w:p>
        </w:tc>
        <w:tc>
          <w:tcPr>
            <w:tcW w:w="2977" w:type="dxa"/>
          </w:tcPr>
          <w:p w14:paraId="52A7B013" w14:textId="77777777" w:rsidR="001B3CC2" w:rsidRPr="001D42DE" w:rsidRDefault="001B3CC2" w:rsidP="00CE134E">
            <w:pPr>
              <w:jc w:val="both"/>
              <w:rPr>
                <w:rFonts w:ascii="Arial" w:hAnsi="Arial" w:cs="Arial"/>
                <w:b/>
                <w:sz w:val="24"/>
                <w:szCs w:val="24"/>
              </w:rPr>
            </w:pPr>
            <w:r w:rsidRPr="001D42DE">
              <w:rPr>
                <w:rFonts w:ascii="Arial" w:hAnsi="Arial" w:cs="Arial"/>
                <w:b/>
                <w:sz w:val="24"/>
                <w:szCs w:val="24"/>
              </w:rPr>
              <w:t>Stage</w:t>
            </w:r>
          </w:p>
        </w:tc>
        <w:tc>
          <w:tcPr>
            <w:tcW w:w="1134" w:type="dxa"/>
            <w:vAlign w:val="center"/>
          </w:tcPr>
          <w:p w14:paraId="061AB39B" w14:textId="77777777" w:rsidR="001B3CC2" w:rsidRPr="001D42DE" w:rsidRDefault="001B3CC2" w:rsidP="00CE134E">
            <w:pPr>
              <w:jc w:val="both"/>
              <w:rPr>
                <w:rFonts w:ascii="Arial" w:hAnsi="Arial" w:cs="Arial"/>
                <w:b/>
                <w:sz w:val="24"/>
                <w:szCs w:val="24"/>
              </w:rPr>
            </w:pPr>
            <w:r w:rsidRPr="001D42DE">
              <w:rPr>
                <w:rFonts w:ascii="Arial" w:hAnsi="Arial" w:cs="Arial"/>
                <w:b/>
                <w:sz w:val="24"/>
                <w:szCs w:val="24"/>
              </w:rPr>
              <w:t>Status</w:t>
            </w:r>
          </w:p>
        </w:tc>
      </w:tr>
      <w:tr w:rsidR="001B3CC2" w:rsidRPr="00EE3176" w14:paraId="1C98A035" w14:textId="77777777">
        <w:tc>
          <w:tcPr>
            <w:tcW w:w="9209" w:type="dxa"/>
            <w:gridSpan w:val="3"/>
            <w:shd w:val="clear" w:color="auto" w:fill="B8CCE4" w:themeFill="accent1" w:themeFillTint="66"/>
          </w:tcPr>
          <w:p w14:paraId="5A4177AA" w14:textId="77777777" w:rsidR="001B3CC2" w:rsidRPr="00EE3176" w:rsidRDefault="001B3CC2" w:rsidP="00CE134E">
            <w:pPr>
              <w:jc w:val="both"/>
              <w:rPr>
                <w:rFonts w:ascii="Arial" w:hAnsi="Arial" w:cs="Arial"/>
                <w:sz w:val="24"/>
                <w:szCs w:val="24"/>
                <w:highlight w:val="yellow"/>
              </w:rPr>
            </w:pPr>
            <w:r w:rsidRPr="001D42DE">
              <w:rPr>
                <w:rFonts w:ascii="Arial" w:hAnsi="Arial" w:cs="Arial"/>
                <w:b/>
                <w:sz w:val="24"/>
                <w:szCs w:val="24"/>
              </w:rPr>
              <w:t>Current City Deal Projects</w:t>
            </w:r>
          </w:p>
        </w:tc>
      </w:tr>
      <w:tr w:rsidR="001B3CC2" w:rsidRPr="00EE3176" w14:paraId="6785FC52" w14:textId="77777777" w:rsidTr="00260C33">
        <w:tc>
          <w:tcPr>
            <w:tcW w:w="5098" w:type="dxa"/>
          </w:tcPr>
          <w:p w14:paraId="2646D6DD" w14:textId="77777777" w:rsidR="001B3CC2" w:rsidRPr="001D42DE" w:rsidRDefault="001B3CC2" w:rsidP="00CE134E">
            <w:pPr>
              <w:jc w:val="both"/>
              <w:rPr>
                <w:rFonts w:ascii="Arial" w:hAnsi="Arial" w:cs="Arial"/>
                <w:sz w:val="24"/>
                <w:szCs w:val="24"/>
              </w:rPr>
            </w:pPr>
            <w:r w:rsidRPr="001D42DE">
              <w:rPr>
                <w:rFonts w:ascii="Arial" w:hAnsi="Arial" w:cs="Arial"/>
                <w:sz w:val="24"/>
                <w:szCs w:val="24"/>
              </w:rPr>
              <w:t>Preston Western Distributor (PWD)/East West Link Road</w:t>
            </w:r>
          </w:p>
        </w:tc>
        <w:tc>
          <w:tcPr>
            <w:tcW w:w="2977" w:type="dxa"/>
            <w:shd w:val="clear" w:color="auto" w:fill="auto"/>
          </w:tcPr>
          <w:p w14:paraId="06ADAC50" w14:textId="1AEE39B3" w:rsidR="001B3CC2" w:rsidRPr="001D42DE" w:rsidRDefault="00DF1D38" w:rsidP="00CE134E">
            <w:pPr>
              <w:jc w:val="both"/>
              <w:rPr>
                <w:rFonts w:ascii="Arial" w:hAnsi="Arial" w:cs="Arial"/>
                <w:sz w:val="24"/>
                <w:szCs w:val="24"/>
              </w:rPr>
            </w:pPr>
            <w:r>
              <w:rPr>
                <w:rFonts w:ascii="Arial" w:hAnsi="Arial" w:cs="Arial"/>
                <w:sz w:val="24"/>
                <w:szCs w:val="24"/>
              </w:rPr>
              <w:t>On site</w:t>
            </w:r>
          </w:p>
        </w:tc>
        <w:tc>
          <w:tcPr>
            <w:tcW w:w="1134" w:type="dxa"/>
            <w:shd w:val="clear" w:color="auto" w:fill="92D050"/>
            <w:vAlign w:val="center"/>
          </w:tcPr>
          <w:p w14:paraId="4FB82C3D" w14:textId="77777777" w:rsidR="001B3CC2" w:rsidRPr="00EE3176" w:rsidRDefault="001B3CC2" w:rsidP="00CE134E">
            <w:pPr>
              <w:jc w:val="both"/>
              <w:rPr>
                <w:rFonts w:ascii="Arial" w:hAnsi="Arial" w:cs="Arial"/>
                <w:sz w:val="24"/>
                <w:szCs w:val="24"/>
                <w:highlight w:val="yellow"/>
              </w:rPr>
            </w:pPr>
          </w:p>
        </w:tc>
      </w:tr>
      <w:tr w:rsidR="001B3CC2" w:rsidRPr="00EE3176" w14:paraId="19C57D24" w14:textId="77777777" w:rsidTr="00BB371F">
        <w:tc>
          <w:tcPr>
            <w:tcW w:w="5098" w:type="dxa"/>
          </w:tcPr>
          <w:p w14:paraId="1A2DBFAA" w14:textId="77777777" w:rsidR="001B3CC2" w:rsidRPr="00A0272E" w:rsidRDefault="001B3CC2" w:rsidP="00CE134E">
            <w:pPr>
              <w:jc w:val="both"/>
              <w:rPr>
                <w:rFonts w:ascii="Arial" w:hAnsi="Arial" w:cs="Arial"/>
                <w:sz w:val="24"/>
                <w:szCs w:val="24"/>
              </w:rPr>
            </w:pPr>
            <w:r w:rsidRPr="00A0272E">
              <w:rPr>
                <w:rFonts w:ascii="Arial" w:hAnsi="Arial" w:cs="Arial"/>
                <w:sz w:val="24"/>
                <w:szCs w:val="24"/>
              </w:rPr>
              <w:lastRenderedPageBreak/>
              <w:t>Cottam Parkway</w:t>
            </w:r>
          </w:p>
        </w:tc>
        <w:tc>
          <w:tcPr>
            <w:tcW w:w="2977" w:type="dxa"/>
            <w:shd w:val="clear" w:color="auto" w:fill="auto"/>
          </w:tcPr>
          <w:p w14:paraId="681EA97B" w14:textId="4DEA900F" w:rsidR="001B3CC2" w:rsidRPr="00A0272E" w:rsidRDefault="001B3CC2" w:rsidP="00CE134E">
            <w:pPr>
              <w:jc w:val="both"/>
              <w:rPr>
                <w:rFonts w:ascii="Arial" w:hAnsi="Arial" w:cs="Arial"/>
                <w:sz w:val="24"/>
                <w:szCs w:val="24"/>
              </w:rPr>
            </w:pPr>
            <w:r w:rsidRPr="00A0272E">
              <w:rPr>
                <w:rFonts w:ascii="Arial" w:hAnsi="Arial" w:cs="Arial"/>
                <w:sz w:val="24"/>
                <w:szCs w:val="24"/>
              </w:rPr>
              <w:t>Design</w:t>
            </w:r>
            <w:r w:rsidR="00761BCF" w:rsidRPr="00A0272E">
              <w:rPr>
                <w:rFonts w:ascii="Arial" w:hAnsi="Arial" w:cs="Arial"/>
                <w:sz w:val="24"/>
                <w:szCs w:val="24"/>
              </w:rPr>
              <w:t>/Planning</w:t>
            </w:r>
          </w:p>
        </w:tc>
        <w:tc>
          <w:tcPr>
            <w:tcW w:w="1134" w:type="dxa"/>
            <w:shd w:val="clear" w:color="auto" w:fill="FF0000"/>
          </w:tcPr>
          <w:p w14:paraId="7B58D3E2" w14:textId="77777777" w:rsidR="001B3CC2" w:rsidRPr="00EE3176" w:rsidRDefault="001B3CC2" w:rsidP="00CE134E">
            <w:pPr>
              <w:jc w:val="both"/>
              <w:rPr>
                <w:rFonts w:ascii="Arial" w:hAnsi="Arial" w:cs="Arial"/>
                <w:color w:val="F79646" w:themeColor="accent6"/>
                <w:sz w:val="24"/>
                <w:szCs w:val="24"/>
                <w:highlight w:val="yellow"/>
              </w:rPr>
            </w:pPr>
          </w:p>
        </w:tc>
      </w:tr>
      <w:tr w:rsidR="001B3CC2" w:rsidRPr="00EE3176" w14:paraId="530DC3BB" w14:textId="77777777">
        <w:tc>
          <w:tcPr>
            <w:tcW w:w="5098" w:type="dxa"/>
          </w:tcPr>
          <w:p w14:paraId="69DBB805" w14:textId="77777777" w:rsidR="001B3CC2" w:rsidRPr="007357E5" w:rsidRDefault="001B3CC2" w:rsidP="00CE134E">
            <w:pPr>
              <w:jc w:val="both"/>
              <w:rPr>
                <w:rFonts w:ascii="Arial" w:hAnsi="Arial" w:cs="Arial"/>
                <w:sz w:val="24"/>
                <w:szCs w:val="24"/>
              </w:rPr>
            </w:pPr>
            <w:r w:rsidRPr="007357E5">
              <w:rPr>
                <w:rFonts w:ascii="Arial" w:hAnsi="Arial" w:cs="Arial"/>
                <w:sz w:val="24"/>
                <w:szCs w:val="24"/>
              </w:rPr>
              <w:t>Bamber Bridge – Urgent Health &amp; Safety Works</w:t>
            </w:r>
          </w:p>
        </w:tc>
        <w:tc>
          <w:tcPr>
            <w:tcW w:w="2977" w:type="dxa"/>
            <w:shd w:val="clear" w:color="auto" w:fill="auto"/>
          </w:tcPr>
          <w:p w14:paraId="2D2F8BBB" w14:textId="23569328" w:rsidR="001B3CC2" w:rsidRPr="007357E5" w:rsidRDefault="006835A9" w:rsidP="00CE134E">
            <w:pPr>
              <w:jc w:val="both"/>
              <w:rPr>
                <w:rFonts w:ascii="Arial" w:hAnsi="Arial" w:cs="Arial"/>
                <w:sz w:val="24"/>
                <w:szCs w:val="24"/>
              </w:rPr>
            </w:pPr>
            <w:r>
              <w:rPr>
                <w:rFonts w:ascii="Arial" w:hAnsi="Arial" w:cs="Arial"/>
                <w:sz w:val="24"/>
                <w:szCs w:val="24"/>
              </w:rPr>
              <w:t>On Site</w:t>
            </w:r>
          </w:p>
        </w:tc>
        <w:tc>
          <w:tcPr>
            <w:tcW w:w="1134" w:type="dxa"/>
            <w:shd w:val="clear" w:color="auto" w:fill="FFC000"/>
          </w:tcPr>
          <w:p w14:paraId="14105EB3" w14:textId="77777777" w:rsidR="001B3CC2" w:rsidRPr="00EE3176" w:rsidRDefault="001B3CC2" w:rsidP="00CE134E">
            <w:pPr>
              <w:jc w:val="both"/>
              <w:rPr>
                <w:rFonts w:ascii="Arial" w:hAnsi="Arial" w:cs="Arial"/>
                <w:sz w:val="24"/>
                <w:szCs w:val="24"/>
                <w:highlight w:val="yellow"/>
              </w:rPr>
            </w:pPr>
          </w:p>
        </w:tc>
      </w:tr>
      <w:tr w:rsidR="001B3CC2" w:rsidRPr="00EE3176" w14:paraId="666F7543" w14:textId="77777777">
        <w:tc>
          <w:tcPr>
            <w:tcW w:w="9209" w:type="dxa"/>
            <w:gridSpan w:val="3"/>
            <w:shd w:val="clear" w:color="auto" w:fill="B8CCE4" w:themeFill="accent1" w:themeFillTint="66"/>
          </w:tcPr>
          <w:p w14:paraId="521ABA71" w14:textId="77777777" w:rsidR="001B3CC2" w:rsidRPr="00EE3176" w:rsidRDefault="001B3CC2" w:rsidP="00CE134E">
            <w:pPr>
              <w:jc w:val="both"/>
              <w:rPr>
                <w:rFonts w:ascii="Arial" w:hAnsi="Arial" w:cs="Arial"/>
                <w:b/>
                <w:sz w:val="24"/>
                <w:szCs w:val="24"/>
                <w:highlight w:val="yellow"/>
              </w:rPr>
            </w:pPr>
            <w:r w:rsidRPr="00E5774D">
              <w:rPr>
                <w:rFonts w:ascii="Arial" w:hAnsi="Arial" w:cs="Arial"/>
                <w:b/>
                <w:sz w:val="24"/>
                <w:szCs w:val="24"/>
              </w:rPr>
              <w:t>Projects awaiting approval to proceed to next stage, pending City Deal mid-term review</w:t>
            </w:r>
          </w:p>
        </w:tc>
      </w:tr>
      <w:tr w:rsidR="001B3CC2" w:rsidRPr="00EE3176" w14:paraId="5A7760B9" w14:textId="77777777">
        <w:tc>
          <w:tcPr>
            <w:tcW w:w="5098" w:type="dxa"/>
          </w:tcPr>
          <w:p w14:paraId="5CF280FA" w14:textId="1426DA94" w:rsidR="001B3CC2" w:rsidRPr="00A0272E" w:rsidRDefault="001B3CC2" w:rsidP="00CE134E">
            <w:pPr>
              <w:jc w:val="both"/>
              <w:rPr>
                <w:rFonts w:ascii="Arial" w:hAnsi="Arial" w:cs="Arial"/>
                <w:sz w:val="24"/>
                <w:szCs w:val="24"/>
              </w:rPr>
            </w:pPr>
            <w:r w:rsidRPr="00A0272E">
              <w:rPr>
                <w:rFonts w:ascii="Arial" w:hAnsi="Arial" w:cs="Arial"/>
                <w:sz w:val="24"/>
                <w:szCs w:val="24"/>
              </w:rPr>
              <w:t xml:space="preserve">PWD to </w:t>
            </w:r>
            <w:proofErr w:type="spellStart"/>
            <w:r w:rsidRPr="00A0272E">
              <w:rPr>
                <w:rFonts w:ascii="Arial" w:hAnsi="Arial" w:cs="Arial"/>
                <w:sz w:val="24"/>
                <w:szCs w:val="24"/>
              </w:rPr>
              <w:t>Samlesbury</w:t>
            </w:r>
            <w:proofErr w:type="spellEnd"/>
            <w:r w:rsidRPr="00A0272E">
              <w:rPr>
                <w:rFonts w:ascii="Arial" w:hAnsi="Arial" w:cs="Arial"/>
                <w:sz w:val="24"/>
                <w:szCs w:val="24"/>
              </w:rPr>
              <w:t xml:space="preserve"> </w:t>
            </w:r>
            <w:r w:rsidR="008B30A7" w:rsidRPr="00A0272E">
              <w:rPr>
                <w:rFonts w:ascii="Arial" w:hAnsi="Arial" w:cs="Arial"/>
                <w:sz w:val="24"/>
                <w:szCs w:val="24"/>
              </w:rPr>
              <w:t>–</w:t>
            </w:r>
            <w:r w:rsidRPr="00A0272E">
              <w:rPr>
                <w:rFonts w:ascii="Arial" w:hAnsi="Arial" w:cs="Arial"/>
                <w:sz w:val="24"/>
                <w:szCs w:val="24"/>
              </w:rPr>
              <w:t xml:space="preserve"> New Hall Lane Local Centre </w:t>
            </w:r>
          </w:p>
        </w:tc>
        <w:tc>
          <w:tcPr>
            <w:tcW w:w="2977" w:type="dxa"/>
            <w:shd w:val="clear" w:color="auto" w:fill="auto"/>
          </w:tcPr>
          <w:p w14:paraId="5E4AD767" w14:textId="77777777" w:rsidR="001B3CC2" w:rsidRPr="00A0272E" w:rsidRDefault="001B3CC2" w:rsidP="00CE134E">
            <w:pPr>
              <w:jc w:val="both"/>
              <w:rPr>
                <w:rFonts w:ascii="Arial" w:hAnsi="Arial" w:cs="Arial"/>
                <w:sz w:val="24"/>
                <w:szCs w:val="24"/>
              </w:rPr>
            </w:pPr>
            <w:r w:rsidRPr="00A0272E">
              <w:rPr>
                <w:rFonts w:ascii="Arial" w:hAnsi="Arial" w:cs="Arial"/>
                <w:sz w:val="24"/>
                <w:szCs w:val="24"/>
              </w:rPr>
              <w:t>Awaiting final resurfacing</w:t>
            </w:r>
          </w:p>
        </w:tc>
        <w:tc>
          <w:tcPr>
            <w:tcW w:w="1134" w:type="dxa"/>
            <w:shd w:val="clear" w:color="auto" w:fill="FF0000"/>
            <w:vAlign w:val="center"/>
          </w:tcPr>
          <w:p w14:paraId="7836696D" w14:textId="77777777" w:rsidR="001B3CC2" w:rsidRPr="00EE3176" w:rsidRDefault="001B3CC2" w:rsidP="00CE134E">
            <w:pPr>
              <w:jc w:val="both"/>
              <w:rPr>
                <w:rFonts w:ascii="Arial" w:hAnsi="Arial" w:cs="Arial"/>
                <w:sz w:val="24"/>
                <w:szCs w:val="24"/>
                <w:highlight w:val="yellow"/>
              </w:rPr>
            </w:pPr>
          </w:p>
        </w:tc>
      </w:tr>
      <w:tr w:rsidR="001B3CC2" w:rsidRPr="00EE3176" w14:paraId="7C1B14B7" w14:textId="77777777">
        <w:tc>
          <w:tcPr>
            <w:tcW w:w="5098" w:type="dxa"/>
          </w:tcPr>
          <w:p w14:paraId="4B8B3EC0" w14:textId="12665A31" w:rsidR="001B3CC2" w:rsidRPr="00A63EF3" w:rsidRDefault="001B3CC2" w:rsidP="00D84428">
            <w:pPr>
              <w:jc w:val="both"/>
              <w:rPr>
                <w:rFonts w:ascii="Arial" w:hAnsi="Arial" w:cs="Arial"/>
                <w:sz w:val="24"/>
                <w:szCs w:val="24"/>
              </w:rPr>
            </w:pPr>
            <w:r w:rsidRPr="00A63EF3">
              <w:rPr>
                <w:rFonts w:ascii="Arial" w:hAnsi="Arial" w:cs="Arial"/>
                <w:sz w:val="24"/>
              </w:rPr>
              <w:t xml:space="preserve">Guild Wheel Upgrade Link </w:t>
            </w:r>
            <w:r w:rsidR="008B30A7" w:rsidRPr="00A63EF3">
              <w:rPr>
                <w:rFonts w:ascii="Arial" w:hAnsi="Arial" w:cs="Arial"/>
                <w:sz w:val="24"/>
              </w:rPr>
              <w:t>–</w:t>
            </w:r>
            <w:r w:rsidRPr="00A63EF3">
              <w:rPr>
                <w:rFonts w:ascii="Arial" w:hAnsi="Arial" w:cs="Arial"/>
                <w:sz w:val="24"/>
              </w:rPr>
              <w:t xml:space="preserve"> P1 Bluebell Way</w:t>
            </w:r>
          </w:p>
        </w:tc>
        <w:tc>
          <w:tcPr>
            <w:tcW w:w="2977" w:type="dxa"/>
            <w:shd w:val="clear" w:color="auto" w:fill="auto"/>
          </w:tcPr>
          <w:p w14:paraId="37F32CEF" w14:textId="77777777" w:rsidR="001B3CC2" w:rsidRPr="00A63EF3" w:rsidRDefault="001B3CC2" w:rsidP="00CE134E">
            <w:pPr>
              <w:jc w:val="both"/>
              <w:rPr>
                <w:rFonts w:ascii="Arial" w:hAnsi="Arial" w:cs="Arial"/>
                <w:sz w:val="24"/>
                <w:szCs w:val="24"/>
              </w:rPr>
            </w:pPr>
            <w:r w:rsidRPr="00A63EF3">
              <w:rPr>
                <w:rFonts w:ascii="Arial" w:hAnsi="Arial" w:cs="Arial"/>
                <w:sz w:val="24"/>
                <w:szCs w:val="24"/>
              </w:rPr>
              <w:t>Pre-Planning</w:t>
            </w:r>
          </w:p>
        </w:tc>
        <w:tc>
          <w:tcPr>
            <w:tcW w:w="1134" w:type="dxa"/>
            <w:shd w:val="clear" w:color="auto" w:fill="FF0000"/>
          </w:tcPr>
          <w:p w14:paraId="070F96DB" w14:textId="77777777" w:rsidR="001B3CC2" w:rsidRPr="00EE3176" w:rsidRDefault="001B3CC2" w:rsidP="00CE134E">
            <w:pPr>
              <w:jc w:val="both"/>
              <w:rPr>
                <w:rFonts w:ascii="Arial" w:hAnsi="Arial" w:cs="Arial"/>
                <w:sz w:val="24"/>
                <w:szCs w:val="24"/>
                <w:highlight w:val="yellow"/>
              </w:rPr>
            </w:pPr>
          </w:p>
        </w:tc>
      </w:tr>
      <w:tr w:rsidR="001B3CC2" w:rsidRPr="00EE3176" w14:paraId="070DC6EA" w14:textId="77777777">
        <w:tc>
          <w:tcPr>
            <w:tcW w:w="5098" w:type="dxa"/>
          </w:tcPr>
          <w:p w14:paraId="35F6A36C" w14:textId="77777777" w:rsidR="001B3CC2" w:rsidRPr="00A63EF3" w:rsidRDefault="001B3CC2" w:rsidP="00CE134E">
            <w:pPr>
              <w:jc w:val="both"/>
              <w:rPr>
                <w:rFonts w:ascii="Arial" w:hAnsi="Arial" w:cs="Arial"/>
                <w:sz w:val="24"/>
                <w:szCs w:val="24"/>
              </w:rPr>
            </w:pPr>
            <w:r w:rsidRPr="00A63EF3">
              <w:rPr>
                <w:rFonts w:ascii="Arial" w:hAnsi="Arial" w:cs="Arial"/>
                <w:sz w:val="24"/>
                <w:szCs w:val="24"/>
              </w:rPr>
              <w:t>Harris Museum/Library</w:t>
            </w:r>
          </w:p>
        </w:tc>
        <w:tc>
          <w:tcPr>
            <w:tcW w:w="2977" w:type="dxa"/>
            <w:shd w:val="clear" w:color="auto" w:fill="auto"/>
          </w:tcPr>
          <w:p w14:paraId="51E83249" w14:textId="20C81104" w:rsidR="001B3CC2" w:rsidRPr="00A63EF3" w:rsidRDefault="00A0272E" w:rsidP="00CE134E">
            <w:pPr>
              <w:jc w:val="both"/>
              <w:rPr>
                <w:rFonts w:ascii="Arial" w:hAnsi="Arial" w:cs="Arial"/>
                <w:sz w:val="24"/>
                <w:szCs w:val="24"/>
              </w:rPr>
            </w:pPr>
            <w:r w:rsidRPr="00A63EF3">
              <w:rPr>
                <w:rFonts w:ascii="Arial" w:hAnsi="Arial" w:cs="Arial"/>
                <w:sz w:val="24"/>
                <w:szCs w:val="24"/>
              </w:rPr>
              <w:t>On-site</w:t>
            </w:r>
          </w:p>
        </w:tc>
        <w:tc>
          <w:tcPr>
            <w:tcW w:w="1134" w:type="dxa"/>
            <w:shd w:val="clear" w:color="auto" w:fill="FF0000"/>
          </w:tcPr>
          <w:p w14:paraId="53DE025F" w14:textId="77777777" w:rsidR="001B3CC2" w:rsidRPr="00EE3176" w:rsidRDefault="001B3CC2" w:rsidP="00CE134E">
            <w:pPr>
              <w:jc w:val="both"/>
              <w:rPr>
                <w:rFonts w:ascii="Arial" w:hAnsi="Arial" w:cs="Arial"/>
                <w:sz w:val="24"/>
                <w:szCs w:val="24"/>
                <w:highlight w:val="yellow"/>
              </w:rPr>
            </w:pPr>
          </w:p>
        </w:tc>
      </w:tr>
      <w:tr w:rsidR="001B3CC2" w:rsidRPr="00EE3176" w14:paraId="56859DAE" w14:textId="77777777">
        <w:tc>
          <w:tcPr>
            <w:tcW w:w="5098" w:type="dxa"/>
          </w:tcPr>
          <w:p w14:paraId="3694AEAA" w14:textId="77777777" w:rsidR="001B3CC2" w:rsidRPr="00A63EF3" w:rsidRDefault="001B3CC2" w:rsidP="00CE134E">
            <w:pPr>
              <w:jc w:val="both"/>
              <w:rPr>
                <w:rFonts w:ascii="Arial" w:hAnsi="Arial" w:cs="Arial"/>
                <w:sz w:val="24"/>
                <w:szCs w:val="24"/>
              </w:rPr>
            </w:pPr>
            <w:r w:rsidRPr="00A63EF3">
              <w:rPr>
                <w:rFonts w:ascii="Arial" w:hAnsi="Arial" w:cs="Arial"/>
                <w:sz w:val="24"/>
                <w:szCs w:val="24"/>
              </w:rPr>
              <w:t>Animate</w:t>
            </w:r>
          </w:p>
        </w:tc>
        <w:tc>
          <w:tcPr>
            <w:tcW w:w="2977" w:type="dxa"/>
            <w:shd w:val="clear" w:color="auto" w:fill="auto"/>
          </w:tcPr>
          <w:p w14:paraId="00FD7752" w14:textId="4D1E7A48" w:rsidR="001B3CC2" w:rsidRPr="00A63EF3" w:rsidRDefault="00A0272E" w:rsidP="00CE134E">
            <w:pPr>
              <w:jc w:val="both"/>
              <w:rPr>
                <w:rFonts w:ascii="Arial" w:hAnsi="Arial" w:cs="Arial"/>
                <w:sz w:val="24"/>
                <w:szCs w:val="24"/>
              </w:rPr>
            </w:pPr>
            <w:r w:rsidRPr="00A63EF3">
              <w:rPr>
                <w:rFonts w:ascii="Arial" w:hAnsi="Arial" w:cs="Arial"/>
                <w:sz w:val="24"/>
                <w:szCs w:val="24"/>
              </w:rPr>
              <w:t>On-site</w:t>
            </w:r>
          </w:p>
        </w:tc>
        <w:tc>
          <w:tcPr>
            <w:tcW w:w="1134" w:type="dxa"/>
            <w:shd w:val="clear" w:color="auto" w:fill="FF0000"/>
          </w:tcPr>
          <w:p w14:paraId="16D723D0" w14:textId="77777777" w:rsidR="001B3CC2" w:rsidRPr="00EE3176" w:rsidRDefault="001B3CC2" w:rsidP="00CE134E">
            <w:pPr>
              <w:jc w:val="both"/>
              <w:rPr>
                <w:rFonts w:ascii="Arial" w:hAnsi="Arial" w:cs="Arial"/>
                <w:sz w:val="24"/>
                <w:szCs w:val="24"/>
                <w:highlight w:val="yellow"/>
              </w:rPr>
            </w:pPr>
          </w:p>
        </w:tc>
      </w:tr>
      <w:tr w:rsidR="001B3CC2" w:rsidRPr="00EE3176" w14:paraId="603684C1" w14:textId="77777777" w:rsidTr="00A63EF3">
        <w:tc>
          <w:tcPr>
            <w:tcW w:w="5098" w:type="dxa"/>
            <w:shd w:val="clear" w:color="auto" w:fill="auto"/>
          </w:tcPr>
          <w:p w14:paraId="5EFF0D9D" w14:textId="77777777" w:rsidR="001B3CC2" w:rsidRPr="00A63EF3" w:rsidRDefault="001B3CC2" w:rsidP="00CE134E">
            <w:pPr>
              <w:jc w:val="both"/>
              <w:rPr>
                <w:rFonts w:ascii="Arial" w:hAnsi="Arial" w:cs="Arial"/>
                <w:sz w:val="24"/>
                <w:szCs w:val="24"/>
              </w:rPr>
            </w:pPr>
            <w:r w:rsidRPr="00A63EF3">
              <w:rPr>
                <w:rFonts w:ascii="Arial" w:hAnsi="Arial" w:cs="Arial"/>
                <w:sz w:val="24"/>
                <w:szCs w:val="24"/>
              </w:rPr>
              <w:t>A582 Dualling</w:t>
            </w:r>
          </w:p>
        </w:tc>
        <w:tc>
          <w:tcPr>
            <w:tcW w:w="2977" w:type="dxa"/>
            <w:shd w:val="clear" w:color="auto" w:fill="auto"/>
          </w:tcPr>
          <w:p w14:paraId="79BA29AE" w14:textId="5155DD3C" w:rsidR="001B3CC2" w:rsidRPr="00A63EF3" w:rsidRDefault="00F502D8" w:rsidP="00CE134E">
            <w:pPr>
              <w:jc w:val="both"/>
              <w:rPr>
                <w:rFonts w:ascii="Arial" w:hAnsi="Arial" w:cs="Arial"/>
                <w:sz w:val="24"/>
                <w:szCs w:val="24"/>
              </w:rPr>
            </w:pPr>
            <w:r>
              <w:rPr>
                <w:rFonts w:ascii="Arial" w:hAnsi="Arial" w:cs="Arial"/>
                <w:sz w:val="24"/>
                <w:szCs w:val="24"/>
              </w:rPr>
              <w:t>Outline Business Case</w:t>
            </w:r>
            <w:r w:rsidR="001B3CC2" w:rsidRPr="00A63EF3">
              <w:rPr>
                <w:rFonts w:ascii="Arial" w:hAnsi="Arial" w:cs="Arial"/>
                <w:sz w:val="24"/>
                <w:szCs w:val="24"/>
              </w:rPr>
              <w:t xml:space="preserve"> </w:t>
            </w:r>
          </w:p>
        </w:tc>
        <w:tc>
          <w:tcPr>
            <w:tcW w:w="1134" w:type="dxa"/>
            <w:shd w:val="clear" w:color="auto" w:fill="FF0000"/>
          </w:tcPr>
          <w:p w14:paraId="75DDFCC2" w14:textId="77777777" w:rsidR="001B3CC2" w:rsidRPr="00EE3176" w:rsidRDefault="001B3CC2" w:rsidP="00CE134E">
            <w:pPr>
              <w:jc w:val="both"/>
              <w:rPr>
                <w:rFonts w:ascii="Arial" w:hAnsi="Arial" w:cs="Arial"/>
                <w:sz w:val="24"/>
                <w:szCs w:val="24"/>
                <w:highlight w:val="yellow"/>
              </w:rPr>
            </w:pPr>
          </w:p>
        </w:tc>
      </w:tr>
      <w:tr w:rsidR="001B3CC2" w:rsidRPr="00EE3176" w14:paraId="316D175C" w14:textId="77777777">
        <w:tc>
          <w:tcPr>
            <w:tcW w:w="5098" w:type="dxa"/>
          </w:tcPr>
          <w:p w14:paraId="268FB7B5" w14:textId="77777777" w:rsidR="001B3CC2" w:rsidRPr="007902EB" w:rsidRDefault="001B3CC2" w:rsidP="00CE134E">
            <w:pPr>
              <w:jc w:val="both"/>
              <w:rPr>
                <w:rFonts w:ascii="Arial" w:hAnsi="Arial" w:cs="Arial"/>
                <w:sz w:val="24"/>
                <w:szCs w:val="24"/>
              </w:rPr>
            </w:pPr>
            <w:r w:rsidRPr="007902EB">
              <w:rPr>
                <w:rFonts w:ascii="Arial" w:hAnsi="Arial" w:cs="Arial"/>
                <w:sz w:val="24"/>
                <w:szCs w:val="24"/>
              </w:rPr>
              <w:t>Lancashire Central Off-Site Road Infrastructure</w:t>
            </w:r>
          </w:p>
        </w:tc>
        <w:tc>
          <w:tcPr>
            <w:tcW w:w="2977" w:type="dxa"/>
            <w:shd w:val="clear" w:color="auto" w:fill="auto"/>
          </w:tcPr>
          <w:p w14:paraId="72875B31" w14:textId="7832EDCB" w:rsidR="001B3CC2" w:rsidRPr="007902EB" w:rsidRDefault="001B3CC2" w:rsidP="00CE134E">
            <w:pPr>
              <w:jc w:val="both"/>
              <w:rPr>
                <w:rFonts w:ascii="Arial" w:hAnsi="Arial" w:cs="Arial"/>
                <w:sz w:val="24"/>
                <w:szCs w:val="24"/>
              </w:rPr>
            </w:pPr>
            <w:r w:rsidRPr="007902EB">
              <w:rPr>
                <w:rFonts w:ascii="Arial" w:hAnsi="Arial" w:cs="Arial"/>
                <w:sz w:val="24"/>
                <w:szCs w:val="24"/>
              </w:rPr>
              <w:t>Design</w:t>
            </w:r>
            <w:r w:rsidR="007902EB" w:rsidRPr="007902EB">
              <w:rPr>
                <w:rFonts w:ascii="Arial" w:hAnsi="Arial" w:cs="Arial"/>
                <w:sz w:val="24"/>
                <w:szCs w:val="24"/>
              </w:rPr>
              <w:t>/Planning</w:t>
            </w:r>
          </w:p>
        </w:tc>
        <w:tc>
          <w:tcPr>
            <w:tcW w:w="1134" w:type="dxa"/>
            <w:shd w:val="clear" w:color="auto" w:fill="FF0000"/>
          </w:tcPr>
          <w:p w14:paraId="4DC248BB" w14:textId="77777777" w:rsidR="001B3CC2" w:rsidRPr="00EE3176" w:rsidRDefault="001B3CC2" w:rsidP="00CE134E">
            <w:pPr>
              <w:jc w:val="both"/>
              <w:rPr>
                <w:rFonts w:ascii="Arial" w:hAnsi="Arial" w:cs="Arial"/>
                <w:sz w:val="24"/>
                <w:szCs w:val="24"/>
                <w:highlight w:val="yellow"/>
              </w:rPr>
            </w:pPr>
          </w:p>
        </w:tc>
      </w:tr>
      <w:tr w:rsidR="001B3CC2" w:rsidRPr="00EE3176" w14:paraId="26E74E19" w14:textId="77777777">
        <w:tc>
          <w:tcPr>
            <w:tcW w:w="5098" w:type="dxa"/>
          </w:tcPr>
          <w:p w14:paraId="4125EDB4" w14:textId="77777777" w:rsidR="001B3CC2" w:rsidRPr="008E1A80" w:rsidRDefault="001B3CC2" w:rsidP="00CE134E">
            <w:pPr>
              <w:jc w:val="both"/>
              <w:rPr>
                <w:rFonts w:ascii="Arial" w:hAnsi="Arial" w:cs="Arial"/>
                <w:sz w:val="24"/>
                <w:szCs w:val="24"/>
              </w:rPr>
            </w:pPr>
            <w:r w:rsidRPr="008E1A80">
              <w:rPr>
                <w:rFonts w:ascii="Arial" w:hAnsi="Arial" w:cs="Arial"/>
                <w:sz w:val="24"/>
                <w:szCs w:val="24"/>
              </w:rPr>
              <w:t xml:space="preserve">Bamber Bridge Local Centre  </w:t>
            </w:r>
          </w:p>
        </w:tc>
        <w:tc>
          <w:tcPr>
            <w:tcW w:w="2977" w:type="dxa"/>
            <w:shd w:val="clear" w:color="auto" w:fill="auto"/>
          </w:tcPr>
          <w:p w14:paraId="671CDE97" w14:textId="5588E841" w:rsidR="001B3CC2" w:rsidRPr="008E1A80" w:rsidRDefault="001B3CC2" w:rsidP="00CE134E">
            <w:pPr>
              <w:jc w:val="both"/>
              <w:rPr>
                <w:rFonts w:ascii="Arial" w:hAnsi="Arial" w:cs="Arial"/>
                <w:sz w:val="24"/>
                <w:szCs w:val="24"/>
              </w:rPr>
            </w:pPr>
            <w:r w:rsidRPr="008E1A80">
              <w:rPr>
                <w:rFonts w:ascii="Arial" w:hAnsi="Arial" w:cs="Arial"/>
                <w:sz w:val="24"/>
                <w:szCs w:val="24"/>
              </w:rPr>
              <w:t xml:space="preserve">Awaiting final </w:t>
            </w:r>
            <w:r w:rsidR="00F502D8">
              <w:rPr>
                <w:rFonts w:ascii="Arial" w:hAnsi="Arial" w:cs="Arial"/>
                <w:sz w:val="24"/>
                <w:szCs w:val="24"/>
              </w:rPr>
              <w:t>r</w:t>
            </w:r>
            <w:r w:rsidRPr="008E1A80">
              <w:rPr>
                <w:rFonts w:ascii="Arial" w:hAnsi="Arial" w:cs="Arial"/>
                <w:sz w:val="24"/>
                <w:szCs w:val="24"/>
              </w:rPr>
              <w:t>esurfacing works</w:t>
            </w:r>
          </w:p>
        </w:tc>
        <w:tc>
          <w:tcPr>
            <w:tcW w:w="1134" w:type="dxa"/>
            <w:shd w:val="clear" w:color="auto" w:fill="FF0000"/>
          </w:tcPr>
          <w:p w14:paraId="59943CA4" w14:textId="77777777" w:rsidR="001B3CC2" w:rsidRPr="00EE3176" w:rsidRDefault="001B3CC2" w:rsidP="00CE134E">
            <w:pPr>
              <w:jc w:val="both"/>
              <w:rPr>
                <w:rFonts w:ascii="Arial" w:hAnsi="Arial" w:cs="Arial"/>
                <w:sz w:val="24"/>
                <w:szCs w:val="24"/>
                <w:highlight w:val="yellow"/>
              </w:rPr>
            </w:pPr>
          </w:p>
        </w:tc>
      </w:tr>
      <w:tr w:rsidR="001B3CC2" w:rsidRPr="00EE3176" w14:paraId="6883CAB5" w14:textId="77777777">
        <w:trPr>
          <w:trHeight w:val="247"/>
        </w:trPr>
        <w:tc>
          <w:tcPr>
            <w:tcW w:w="9209" w:type="dxa"/>
            <w:gridSpan w:val="3"/>
            <w:shd w:val="clear" w:color="auto" w:fill="B8CCE4" w:themeFill="accent1" w:themeFillTint="66"/>
          </w:tcPr>
          <w:p w14:paraId="12ABEBDA" w14:textId="77777777" w:rsidR="001B3CC2" w:rsidRPr="008E1A80" w:rsidRDefault="001B3CC2" w:rsidP="00CE134E">
            <w:pPr>
              <w:jc w:val="both"/>
              <w:rPr>
                <w:rFonts w:ascii="Arial" w:hAnsi="Arial" w:cs="Arial"/>
                <w:b/>
                <w:sz w:val="24"/>
                <w:szCs w:val="24"/>
              </w:rPr>
            </w:pPr>
            <w:r w:rsidRPr="008E1A80">
              <w:rPr>
                <w:rFonts w:ascii="Arial" w:hAnsi="Arial" w:cs="Arial"/>
                <w:b/>
                <w:sz w:val="24"/>
                <w:szCs w:val="24"/>
              </w:rPr>
              <w:t xml:space="preserve">Future Pipeline Projects </w:t>
            </w:r>
          </w:p>
        </w:tc>
      </w:tr>
      <w:tr w:rsidR="001B3CC2" w:rsidRPr="00EE3176" w14:paraId="2204BE7A" w14:textId="77777777">
        <w:tc>
          <w:tcPr>
            <w:tcW w:w="5098" w:type="dxa"/>
          </w:tcPr>
          <w:p w14:paraId="23046AA8" w14:textId="4A02BBCF" w:rsidR="001B3CC2" w:rsidRPr="008E1A80" w:rsidRDefault="001B3CC2" w:rsidP="00CE134E">
            <w:pPr>
              <w:jc w:val="both"/>
              <w:rPr>
                <w:rFonts w:ascii="Arial" w:hAnsi="Arial" w:cs="Arial"/>
                <w:sz w:val="24"/>
                <w:szCs w:val="24"/>
              </w:rPr>
            </w:pPr>
            <w:r w:rsidRPr="008E1A80">
              <w:rPr>
                <w:rFonts w:ascii="Arial" w:hAnsi="Arial" w:cs="Arial"/>
                <w:sz w:val="24"/>
                <w:szCs w:val="24"/>
              </w:rPr>
              <w:t xml:space="preserve">Moss Side Test Track </w:t>
            </w:r>
            <w:r w:rsidR="00260C33" w:rsidRPr="008E1A80">
              <w:rPr>
                <w:rFonts w:ascii="Arial" w:hAnsi="Arial" w:cs="Arial"/>
                <w:sz w:val="24"/>
                <w:szCs w:val="24"/>
              </w:rPr>
              <w:t>R</w:t>
            </w:r>
            <w:r w:rsidRPr="008E1A80">
              <w:rPr>
                <w:rFonts w:ascii="Arial" w:hAnsi="Arial" w:cs="Arial"/>
                <w:sz w:val="24"/>
                <w:szCs w:val="24"/>
              </w:rPr>
              <w:t>oad infrastructure</w:t>
            </w:r>
          </w:p>
        </w:tc>
        <w:tc>
          <w:tcPr>
            <w:tcW w:w="2977" w:type="dxa"/>
            <w:shd w:val="clear" w:color="auto" w:fill="auto"/>
          </w:tcPr>
          <w:p w14:paraId="7B7C6DE5" w14:textId="77777777" w:rsidR="001B3CC2" w:rsidRPr="008E1A80" w:rsidRDefault="001B3CC2" w:rsidP="00CE134E">
            <w:pPr>
              <w:jc w:val="both"/>
              <w:rPr>
                <w:rFonts w:ascii="Arial" w:hAnsi="Arial" w:cs="Arial"/>
                <w:sz w:val="24"/>
                <w:szCs w:val="24"/>
              </w:rPr>
            </w:pPr>
            <w:r w:rsidRPr="008E1A80">
              <w:rPr>
                <w:rFonts w:ascii="Arial" w:hAnsi="Arial" w:cs="Arial"/>
                <w:sz w:val="24"/>
                <w:szCs w:val="24"/>
              </w:rPr>
              <w:t xml:space="preserve">Planning </w:t>
            </w:r>
          </w:p>
        </w:tc>
        <w:tc>
          <w:tcPr>
            <w:tcW w:w="1134" w:type="dxa"/>
            <w:shd w:val="clear" w:color="auto" w:fill="EEECE1" w:themeFill="background2"/>
            <w:vAlign w:val="center"/>
          </w:tcPr>
          <w:p w14:paraId="6F90D33D"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356C5D5C" w14:textId="77777777">
        <w:trPr>
          <w:trHeight w:val="179"/>
        </w:trPr>
        <w:tc>
          <w:tcPr>
            <w:tcW w:w="5098" w:type="dxa"/>
          </w:tcPr>
          <w:p w14:paraId="2B0C16C7" w14:textId="77777777" w:rsidR="001B3CC2" w:rsidRPr="008E1A80" w:rsidRDefault="001B3CC2" w:rsidP="00CE134E">
            <w:pPr>
              <w:jc w:val="both"/>
              <w:rPr>
                <w:rFonts w:ascii="Arial" w:hAnsi="Arial" w:cs="Arial"/>
                <w:sz w:val="24"/>
                <w:szCs w:val="24"/>
              </w:rPr>
            </w:pPr>
            <w:r w:rsidRPr="008E1A80">
              <w:rPr>
                <w:rFonts w:ascii="Arial" w:hAnsi="Arial" w:cs="Arial"/>
                <w:sz w:val="24"/>
                <w:szCs w:val="24"/>
              </w:rPr>
              <w:t>The Lanes Link Road</w:t>
            </w:r>
          </w:p>
        </w:tc>
        <w:tc>
          <w:tcPr>
            <w:tcW w:w="2977" w:type="dxa"/>
            <w:shd w:val="clear" w:color="auto" w:fill="auto"/>
          </w:tcPr>
          <w:p w14:paraId="09D29C93" w14:textId="1040E139" w:rsidR="001B3CC2" w:rsidRPr="008E1A80" w:rsidRDefault="00260C33" w:rsidP="00CE134E">
            <w:pPr>
              <w:jc w:val="both"/>
              <w:rPr>
                <w:rFonts w:ascii="Arial" w:hAnsi="Arial" w:cs="Arial"/>
                <w:sz w:val="24"/>
                <w:szCs w:val="24"/>
              </w:rPr>
            </w:pPr>
            <w:r w:rsidRPr="008E1A80">
              <w:rPr>
                <w:rFonts w:ascii="Arial" w:hAnsi="Arial" w:cs="Arial"/>
                <w:sz w:val="24"/>
                <w:szCs w:val="24"/>
              </w:rPr>
              <w:t>Planning</w:t>
            </w:r>
            <w:r w:rsidR="001B3CC2" w:rsidRPr="008E1A80">
              <w:rPr>
                <w:rFonts w:ascii="Arial" w:hAnsi="Arial" w:cs="Arial"/>
                <w:sz w:val="24"/>
                <w:szCs w:val="24"/>
              </w:rPr>
              <w:t xml:space="preserve"> </w:t>
            </w:r>
          </w:p>
        </w:tc>
        <w:tc>
          <w:tcPr>
            <w:tcW w:w="1134" w:type="dxa"/>
            <w:shd w:val="clear" w:color="auto" w:fill="EEECE1" w:themeFill="background2"/>
            <w:vAlign w:val="center"/>
          </w:tcPr>
          <w:p w14:paraId="6FCD636E"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419F699C" w14:textId="77777777">
        <w:trPr>
          <w:trHeight w:val="179"/>
        </w:trPr>
        <w:tc>
          <w:tcPr>
            <w:tcW w:w="5098" w:type="dxa"/>
          </w:tcPr>
          <w:p w14:paraId="19466991" w14:textId="77777777" w:rsidR="001B3CC2" w:rsidRPr="008E1A80" w:rsidRDefault="001B3CC2" w:rsidP="00CE134E">
            <w:pPr>
              <w:jc w:val="both"/>
              <w:rPr>
                <w:rFonts w:ascii="Arial" w:hAnsi="Arial" w:cs="Arial"/>
                <w:sz w:val="24"/>
                <w:szCs w:val="24"/>
              </w:rPr>
            </w:pPr>
            <w:r w:rsidRPr="008E1A80">
              <w:rPr>
                <w:rFonts w:ascii="Arial" w:hAnsi="Arial" w:cs="Arial"/>
                <w:sz w:val="24"/>
                <w:szCs w:val="24"/>
              </w:rPr>
              <w:t xml:space="preserve">North West Preston Linear Park </w:t>
            </w:r>
          </w:p>
        </w:tc>
        <w:tc>
          <w:tcPr>
            <w:tcW w:w="2977" w:type="dxa"/>
            <w:shd w:val="clear" w:color="auto" w:fill="auto"/>
          </w:tcPr>
          <w:p w14:paraId="3D4C9CAB" w14:textId="77777777" w:rsidR="001B3CC2" w:rsidRPr="008E1A80" w:rsidRDefault="001B3CC2" w:rsidP="00CE134E">
            <w:pPr>
              <w:jc w:val="both"/>
              <w:rPr>
                <w:rFonts w:ascii="Arial" w:hAnsi="Arial" w:cs="Arial"/>
                <w:sz w:val="24"/>
                <w:szCs w:val="24"/>
              </w:rPr>
            </w:pPr>
            <w:r w:rsidRPr="008E1A80">
              <w:rPr>
                <w:rFonts w:ascii="Arial" w:hAnsi="Arial" w:cs="Arial"/>
                <w:sz w:val="24"/>
                <w:szCs w:val="24"/>
              </w:rPr>
              <w:t>Pre-planning</w:t>
            </w:r>
          </w:p>
        </w:tc>
        <w:tc>
          <w:tcPr>
            <w:tcW w:w="1134" w:type="dxa"/>
            <w:shd w:val="clear" w:color="auto" w:fill="EEECE1" w:themeFill="background2"/>
            <w:vAlign w:val="center"/>
          </w:tcPr>
          <w:p w14:paraId="3F23206A"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319AF47C" w14:textId="77777777">
        <w:trPr>
          <w:trHeight w:val="255"/>
        </w:trPr>
        <w:tc>
          <w:tcPr>
            <w:tcW w:w="5098" w:type="dxa"/>
          </w:tcPr>
          <w:p w14:paraId="1BA35D1E"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Preston Education: </w:t>
            </w:r>
          </w:p>
          <w:p w14:paraId="6537FA66"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primary school NWP (2 form entry)</w:t>
            </w:r>
          </w:p>
          <w:p w14:paraId="2F8E053B"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1 primary school (1.5 form entry) </w:t>
            </w:r>
          </w:p>
          <w:p w14:paraId="766B6AAB"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secondary school – NWP</w:t>
            </w:r>
          </w:p>
          <w:p w14:paraId="11E811D8"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primary school Cottam Hall</w:t>
            </w:r>
          </w:p>
          <w:p w14:paraId="0F01385B"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primary school (Whittingham Hospital)</w:t>
            </w:r>
          </w:p>
        </w:tc>
        <w:tc>
          <w:tcPr>
            <w:tcW w:w="2977" w:type="dxa"/>
            <w:shd w:val="clear" w:color="auto" w:fill="auto"/>
          </w:tcPr>
          <w:p w14:paraId="3CDBA6F8"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Pre-planning </w:t>
            </w:r>
          </w:p>
        </w:tc>
        <w:tc>
          <w:tcPr>
            <w:tcW w:w="1134" w:type="dxa"/>
            <w:shd w:val="clear" w:color="auto" w:fill="EEECE1" w:themeFill="background2"/>
            <w:vAlign w:val="center"/>
          </w:tcPr>
          <w:p w14:paraId="51A13C81"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3AE3EF4D" w14:textId="77777777">
        <w:trPr>
          <w:trHeight w:val="179"/>
        </w:trPr>
        <w:tc>
          <w:tcPr>
            <w:tcW w:w="5098" w:type="dxa"/>
          </w:tcPr>
          <w:p w14:paraId="20A207CC"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South Ribble Education: </w:t>
            </w:r>
          </w:p>
          <w:p w14:paraId="0311F348"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new primary school at Moss Side Test Track</w:t>
            </w:r>
          </w:p>
          <w:p w14:paraId="62AEC049"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1 new primary school at Pickering's Farm</w:t>
            </w:r>
          </w:p>
        </w:tc>
        <w:tc>
          <w:tcPr>
            <w:tcW w:w="2977" w:type="dxa"/>
            <w:shd w:val="clear" w:color="auto" w:fill="auto"/>
          </w:tcPr>
          <w:p w14:paraId="65139406"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Pre-planning </w:t>
            </w:r>
          </w:p>
        </w:tc>
        <w:tc>
          <w:tcPr>
            <w:tcW w:w="1134" w:type="dxa"/>
            <w:shd w:val="clear" w:color="auto" w:fill="EEECE1" w:themeFill="background2"/>
            <w:vAlign w:val="center"/>
          </w:tcPr>
          <w:p w14:paraId="3B22A36A"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1EED20DD" w14:textId="77777777">
        <w:trPr>
          <w:trHeight w:val="179"/>
        </w:trPr>
        <w:tc>
          <w:tcPr>
            <w:tcW w:w="5098" w:type="dxa"/>
          </w:tcPr>
          <w:p w14:paraId="556035FD" w14:textId="77777777" w:rsidR="001B3CC2" w:rsidRPr="00260C33" w:rsidRDefault="001B3CC2" w:rsidP="00CE134E">
            <w:pPr>
              <w:jc w:val="both"/>
              <w:rPr>
                <w:rFonts w:ascii="Arial" w:eastAsia="Times New Roman" w:hAnsi="Arial" w:cs="Arial"/>
                <w:sz w:val="24"/>
                <w:szCs w:val="24"/>
                <w:lang w:eastAsia="en-GB"/>
              </w:rPr>
            </w:pPr>
            <w:r w:rsidRPr="00260C33">
              <w:rPr>
                <w:rFonts w:ascii="Arial" w:hAnsi="Arial" w:cs="Arial"/>
                <w:sz w:val="24"/>
                <w:szCs w:val="24"/>
              </w:rPr>
              <w:t>South Ribble priority corridors and local centres:</w:t>
            </w:r>
          </w:p>
          <w:p w14:paraId="6703FCA8"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 xml:space="preserve">Hutton to Higher Penwortham Public Realm Improvements </w:t>
            </w:r>
          </w:p>
          <w:p w14:paraId="1F009964"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 xml:space="preserve">North of Lostock Lane </w:t>
            </w:r>
          </w:p>
          <w:p w14:paraId="75095B6E" w14:textId="77777777" w:rsidR="001B3CC2" w:rsidRPr="00260C33" w:rsidRDefault="001B3CC2" w:rsidP="00CE134E">
            <w:pPr>
              <w:pStyle w:val="ListParagraph"/>
              <w:numPr>
                <w:ilvl w:val="0"/>
                <w:numId w:val="9"/>
              </w:numPr>
              <w:jc w:val="both"/>
              <w:rPr>
                <w:rFonts w:ascii="Arial" w:hAnsi="Arial" w:cs="Arial"/>
                <w:sz w:val="24"/>
                <w:szCs w:val="24"/>
              </w:rPr>
            </w:pPr>
            <w:r w:rsidRPr="00260C33">
              <w:rPr>
                <w:rFonts w:ascii="Arial" w:eastAsia="Times New Roman" w:hAnsi="Arial" w:cs="Arial"/>
                <w:sz w:val="24"/>
                <w:szCs w:val="24"/>
                <w:lang w:eastAsia="en-GB"/>
              </w:rPr>
              <w:t>South of Lostock Lane</w:t>
            </w:r>
          </w:p>
        </w:tc>
        <w:tc>
          <w:tcPr>
            <w:tcW w:w="2977" w:type="dxa"/>
            <w:shd w:val="clear" w:color="auto" w:fill="auto"/>
          </w:tcPr>
          <w:p w14:paraId="03057D75"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Pre-planning </w:t>
            </w:r>
          </w:p>
        </w:tc>
        <w:tc>
          <w:tcPr>
            <w:tcW w:w="1134" w:type="dxa"/>
            <w:shd w:val="clear" w:color="auto" w:fill="EEECE1" w:themeFill="background2"/>
            <w:vAlign w:val="center"/>
          </w:tcPr>
          <w:p w14:paraId="04AA939A"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r w:rsidR="001B3CC2" w:rsidRPr="00EE3176" w14:paraId="31153613" w14:textId="77777777">
        <w:trPr>
          <w:trHeight w:val="179"/>
        </w:trPr>
        <w:tc>
          <w:tcPr>
            <w:tcW w:w="5098" w:type="dxa"/>
          </w:tcPr>
          <w:p w14:paraId="0A128550" w14:textId="77777777" w:rsidR="001B3CC2" w:rsidRPr="00260C33" w:rsidRDefault="001B3CC2" w:rsidP="00CE134E">
            <w:pPr>
              <w:jc w:val="both"/>
              <w:rPr>
                <w:rFonts w:ascii="Arial" w:eastAsia="Times New Roman" w:hAnsi="Arial" w:cs="Arial"/>
                <w:sz w:val="24"/>
                <w:szCs w:val="24"/>
                <w:lang w:eastAsia="en-GB"/>
              </w:rPr>
            </w:pPr>
            <w:r w:rsidRPr="00260C33">
              <w:rPr>
                <w:rFonts w:ascii="Arial" w:hAnsi="Arial" w:cs="Arial"/>
                <w:sz w:val="24"/>
                <w:szCs w:val="24"/>
              </w:rPr>
              <w:t>Preston priority corridors and local centres:</w:t>
            </w:r>
          </w:p>
          <w:p w14:paraId="0390F9CA"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Broughton/Fulwood (South of M55)</w:t>
            </w:r>
          </w:p>
          <w:p w14:paraId="6BCB5A30"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 xml:space="preserve">NW Preston/Cottam/Ingol/City Centre </w:t>
            </w:r>
          </w:p>
          <w:p w14:paraId="734FD48A"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Warton to PWD – Corridor</w:t>
            </w:r>
          </w:p>
          <w:p w14:paraId="5899A658" w14:textId="77777777" w:rsidR="001B3CC2" w:rsidRPr="00260C33" w:rsidRDefault="001B3CC2" w:rsidP="00CE134E">
            <w:pPr>
              <w:pStyle w:val="ListParagraph"/>
              <w:numPr>
                <w:ilvl w:val="0"/>
                <w:numId w:val="9"/>
              </w:numPr>
              <w:jc w:val="both"/>
              <w:rPr>
                <w:rFonts w:ascii="Arial" w:eastAsia="Times New Roman" w:hAnsi="Arial" w:cs="Arial"/>
                <w:sz w:val="24"/>
                <w:szCs w:val="24"/>
                <w:lang w:eastAsia="en-GB"/>
              </w:rPr>
            </w:pPr>
            <w:r w:rsidRPr="00260C33">
              <w:rPr>
                <w:rFonts w:ascii="Arial" w:eastAsia="Times New Roman" w:hAnsi="Arial" w:cs="Arial"/>
                <w:sz w:val="24"/>
                <w:szCs w:val="24"/>
                <w:lang w:eastAsia="en-GB"/>
              </w:rPr>
              <w:t>Longridge/</w:t>
            </w:r>
            <w:proofErr w:type="spellStart"/>
            <w:r w:rsidRPr="00260C33">
              <w:rPr>
                <w:rFonts w:ascii="Arial" w:eastAsia="Times New Roman" w:hAnsi="Arial" w:cs="Arial"/>
                <w:sz w:val="24"/>
                <w:szCs w:val="24"/>
                <w:lang w:eastAsia="en-GB"/>
              </w:rPr>
              <w:t>Grimsargh</w:t>
            </w:r>
            <w:proofErr w:type="spellEnd"/>
            <w:r w:rsidRPr="00260C33">
              <w:rPr>
                <w:rFonts w:ascii="Arial" w:eastAsia="Times New Roman" w:hAnsi="Arial" w:cs="Arial"/>
                <w:sz w:val="24"/>
                <w:szCs w:val="24"/>
                <w:lang w:eastAsia="en-GB"/>
              </w:rPr>
              <w:t>/</w:t>
            </w:r>
            <w:proofErr w:type="spellStart"/>
            <w:r w:rsidRPr="00260C33">
              <w:rPr>
                <w:rFonts w:ascii="Arial" w:eastAsia="Times New Roman" w:hAnsi="Arial" w:cs="Arial"/>
                <w:sz w:val="24"/>
                <w:szCs w:val="24"/>
                <w:lang w:eastAsia="en-GB"/>
              </w:rPr>
              <w:t>Ribbleton</w:t>
            </w:r>
            <w:proofErr w:type="spellEnd"/>
            <w:r w:rsidRPr="00260C33">
              <w:rPr>
                <w:rFonts w:ascii="Arial" w:eastAsia="Times New Roman" w:hAnsi="Arial" w:cs="Arial"/>
                <w:sz w:val="24"/>
                <w:szCs w:val="24"/>
                <w:lang w:eastAsia="en-GB"/>
              </w:rPr>
              <w:t xml:space="preserve">/City Centre </w:t>
            </w:r>
          </w:p>
          <w:p w14:paraId="198F73AF" w14:textId="43271734" w:rsidR="001B3CC2" w:rsidRPr="00260C33" w:rsidRDefault="001B3CC2" w:rsidP="00CE134E">
            <w:pPr>
              <w:pStyle w:val="ListParagraph"/>
              <w:numPr>
                <w:ilvl w:val="0"/>
                <w:numId w:val="9"/>
              </w:numPr>
              <w:jc w:val="both"/>
              <w:rPr>
                <w:rFonts w:ascii="Arial" w:hAnsi="Arial" w:cs="Arial"/>
                <w:sz w:val="24"/>
                <w:szCs w:val="24"/>
              </w:rPr>
            </w:pPr>
            <w:r w:rsidRPr="00260C33">
              <w:rPr>
                <w:rFonts w:ascii="Arial" w:eastAsia="Times New Roman" w:hAnsi="Arial" w:cs="Arial"/>
                <w:sz w:val="24"/>
                <w:szCs w:val="24"/>
                <w:lang w:eastAsia="en-GB"/>
              </w:rPr>
              <w:t xml:space="preserve">PWD to </w:t>
            </w:r>
            <w:proofErr w:type="spellStart"/>
            <w:r w:rsidRPr="00260C33">
              <w:rPr>
                <w:rFonts w:ascii="Arial" w:eastAsia="Times New Roman" w:hAnsi="Arial" w:cs="Arial"/>
                <w:sz w:val="24"/>
                <w:szCs w:val="24"/>
                <w:lang w:eastAsia="en-GB"/>
              </w:rPr>
              <w:t>Samlesbury</w:t>
            </w:r>
            <w:proofErr w:type="spellEnd"/>
            <w:r w:rsidRPr="00260C33">
              <w:rPr>
                <w:rFonts w:ascii="Arial" w:eastAsia="Times New Roman" w:hAnsi="Arial" w:cs="Arial"/>
                <w:sz w:val="24"/>
                <w:szCs w:val="24"/>
                <w:lang w:eastAsia="en-GB"/>
              </w:rPr>
              <w:t xml:space="preserve"> </w:t>
            </w:r>
            <w:r w:rsidR="008B30A7" w:rsidRPr="00260C33">
              <w:rPr>
                <w:rFonts w:ascii="Arial" w:eastAsia="Times New Roman" w:hAnsi="Arial" w:cs="Arial"/>
                <w:sz w:val="24"/>
                <w:szCs w:val="24"/>
                <w:lang w:eastAsia="en-GB"/>
              </w:rPr>
              <w:t>–</w:t>
            </w:r>
            <w:r w:rsidRPr="00260C33">
              <w:rPr>
                <w:rFonts w:ascii="Arial" w:eastAsia="Times New Roman" w:hAnsi="Arial" w:cs="Arial"/>
                <w:sz w:val="24"/>
                <w:szCs w:val="24"/>
                <w:lang w:eastAsia="en-GB"/>
              </w:rPr>
              <w:t xml:space="preserve"> Corridor </w:t>
            </w:r>
          </w:p>
        </w:tc>
        <w:tc>
          <w:tcPr>
            <w:tcW w:w="2977" w:type="dxa"/>
            <w:shd w:val="clear" w:color="auto" w:fill="auto"/>
          </w:tcPr>
          <w:p w14:paraId="2F55C1C3"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 xml:space="preserve">Pre-planning </w:t>
            </w:r>
          </w:p>
        </w:tc>
        <w:tc>
          <w:tcPr>
            <w:tcW w:w="1134" w:type="dxa"/>
            <w:shd w:val="clear" w:color="auto" w:fill="EEECE1" w:themeFill="background2"/>
            <w:vAlign w:val="center"/>
          </w:tcPr>
          <w:p w14:paraId="07F730BB" w14:textId="77777777" w:rsidR="001B3CC2" w:rsidRPr="00260C33" w:rsidRDefault="001B3CC2" w:rsidP="00CE134E">
            <w:pPr>
              <w:jc w:val="both"/>
              <w:rPr>
                <w:rFonts w:ascii="Arial" w:hAnsi="Arial" w:cs="Arial"/>
                <w:sz w:val="24"/>
                <w:szCs w:val="24"/>
              </w:rPr>
            </w:pPr>
            <w:r w:rsidRPr="00260C33">
              <w:rPr>
                <w:rFonts w:ascii="Arial" w:hAnsi="Arial" w:cs="Arial"/>
                <w:sz w:val="24"/>
                <w:szCs w:val="24"/>
              </w:rPr>
              <w:t>N/A</w:t>
            </w:r>
          </w:p>
        </w:tc>
      </w:tr>
    </w:tbl>
    <w:p w14:paraId="443EA095" w14:textId="6E7D472E" w:rsidR="00CB5F7E" w:rsidRDefault="00CB5F7E" w:rsidP="00CE134E">
      <w:pPr>
        <w:spacing w:after="0" w:line="240" w:lineRule="auto"/>
        <w:jc w:val="both"/>
        <w:rPr>
          <w:rFonts w:ascii="Arial" w:hAnsi="Arial" w:cs="Arial"/>
          <w:sz w:val="24"/>
          <w:szCs w:val="24"/>
        </w:rPr>
      </w:pPr>
    </w:p>
    <w:p w14:paraId="5720ABDE" w14:textId="77777777" w:rsidR="0012680E" w:rsidRDefault="0012680E" w:rsidP="00CE134E">
      <w:pPr>
        <w:spacing w:after="0" w:line="240" w:lineRule="auto"/>
        <w:jc w:val="both"/>
        <w:rPr>
          <w:rFonts w:ascii="Arial" w:hAnsi="Arial" w:cs="Arial"/>
          <w:sz w:val="24"/>
          <w:szCs w:val="24"/>
          <w:u w:val="single"/>
        </w:rPr>
      </w:pPr>
    </w:p>
    <w:p w14:paraId="0793B49A" w14:textId="1C19A82F" w:rsidR="009C214C" w:rsidRPr="00D13626" w:rsidRDefault="00D13626" w:rsidP="00CE134E">
      <w:pPr>
        <w:spacing w:after="0" w:line="240" w:lineRule="auto"/>
        <w:jc w:val="both"/>
        <w:rPr>
          <w:rFonts w:ascii="Arial" w:hAnsi="Arial" w:cs="Arial"/>
          <w:b/>
          <w:bCs/>
          <w:sz w:val="24"/>
          <w:szCs w:val="24"/>
        </w:rPr>
      </w:pPr>
      <w:r>
        <w:rPr>
          <w:rFonts w:ascii="Arial" w:hAnsi="Arial" w:cs="Arial"/>
          <w:b/>
          <w:bCs/>
          <w:sz w:val="24"/>
          <w:szCs w:val="24"/>
        </w:rPr>
        <w:t>iv</w:t>
      </w:r>
      <w:r w:rsidR="006835A9" w:rsidRPr="00D13626">
        <w:rPr>
          <w:rFonts w:ascii="Arial" w:hAnsi="Arial" w:cs="Arial"/>
          <w:b/>
          <w:bCs/>
          <w:sz w:val="24"/>
          <w:szCs w:val="24"/>
        </w:rPr>
        <w:t>. Year 9 (to 31</w:t>
      </w:r>
      <w:r w:rsidR="006835A9" w:rsidRPr="00D13626">
        <w:rPr>
          <w:rFonts w:ascii="Arial" w:hAnsi="Arial" w:cs="Arial"/>
          <w:b/>
          <w:bCs/>
          <w:sz w:val="24"/>
          <w:szCs w:val="24"/>
          <w:vertAlign w:val="superscript"/>
        </w:rPr>
        <w:t>st</w:t>
      </w:r>
      <w:r w:rsidR="006835A9" w:rsidRPr="00D13626">
        <w:rPr>
          <w:rFonts w:ascii="Arial" w:hAnsi="Arial" w:cs="Arial"/>
          <w:b/>
          <w:bCs/>
          <w:sz w:val="24"/>
          <w:szCs w:val="24"/>
        </w:rPr>
        <w:t xml:space="preserve"> March 2023)</w:t>
      </w:r>
      <w:r w:rsidR="009C214C" w:rsidRPr="00D13626">
        <w:rPr>
          <w:rFonts w:ascii="Arial" w:hAnsi="Arial" w:cs="Arial"/>
          <w:b/>
          <w:bCs/>
          <w:sz w:val="24"/>
          <w:szCs w:val="24"/>
        </w:rPr>
        <w:t xml:space="preserve"> – Performance Report</w:t>
      </w:r>
      <w:r w:rsidR="00541A24" w:rsidRPr="00D13626">
        <w:rPr>
          <w:rFonts w:ascii="Arial" w:hAnsi="Arial" w:cs="Arial"/>
          <w:b/>
          <w:bCs/>
          <w:sz w:val="24"/>
          <w:szCs w:val="24"/>
        </w:rPr>
        <w:t xml:space="preserve"> – Core Outputs</w:t>
      </w:r>
    </w:p>
    <w:p w14:paraId="69A6FBEB" w14:textId="77777777" w:rsidR="00CB5F7E" w:rsidRPr="00EE3176" w:rsidRDefault="00CB5F7E" w:rsidP="00CE134E">
      <w:pPr>
        <w:spacing w:after="0" w:line="240" w:lineRule="auto"/>
        <w:jc w:val="both"/>
        <w:rPr>
          <w:rFonts w:ascii="Arial" w:hAnsi="Arial" w:cs="Arial"/>
          <w:sz w:val="24"/>
          <w:szCs w:val="24"/>
          <w:highlight w:val="yellow"/>
          <w:u w:val="single"/>
        </w:rPr>
      </w:pPr>
    </w:p>
    <w:p w14:paraId="5378042A" w14:textId="57F51391" w:rsidR="00541A24" w:rsidRPr="00D54880" w:rsidRDefault="00541A24" w:rsidP="00CE134E">
      <w:pPr>
        <w:spacing w:after="0" w:line="240" w:lineRule="auto"/>
        <w:jc w:val="both"/>
        <w:rPr>
          <w:rFonts w:ascii="Arial" w:hAnsi="Arial" w:cs="Arial"/>
          <w:sz w:val="24"/>
          <w:szCs w:val="24"/>
        </w:rPr>
      </w:pPr>
      <w:r w:rsidRPr="00D54880">
        <w:rPr>
          <w:rFonts w:ascii="Arial" w:hAnsi="Arial" w:cs="Arial"/>
          <w:sz w:val="24"/>
          <w:szCs w:val="24"/>
        </w:rPr>
        <w:t xml:space="preserve">Overall performance against the City Deal core </w:t>
      </w:r>
      <w:r w:rsidR="001B3CC2" w:rsidRPr="00D54880">
        <w:rPr>
          <w:rFonts w:ascii="Arial" w:hAnsi="Arial" w:cs="Arial"/>
          <w:sz w:val="24"/>
          <w:szCs w:val="24"/>
        </w:rPr>
        <w:t>metrics</w:t>
      </w:r>
      <w:r w:rsidRPr="00D54880">
        <w:rPr>
          <w:rFonts w:ascii="Arial" w:hAnsi="Arial" w:cs="Arial"/>
          <w:sz w:val="24"/>
          <w:szCs w:val="24"/>
        </w:rPr>
        <w:t>, is set out in the table below.</w:t>
      </w:r>
    </w:p>
    <w:p w14:paraId="6AAC0EFE" w14:textId="77777777" w:rsidR="00541A24" w:rsidRPr="00EE3176" w:rsidRDefault="00541A24" w:rsidP="00CE134E">
      <w:pPr>
        <w:spacing w:after="0" w:line="240" w:lineRule="auto"/>
        <w:jc w:val="both"/>
        <w:rPr>
          <w:rFonts w:ascii="Arial" w:hAnsi="Arial" w:cs="Arial"/>
          <w:sz w:val="24"/>
          <w:szCs w:val="24"/>
          <w:highlight w:val="yellow"/>
        </w:rPr>
      </w:pPr>
    </w:p>
    <w:p w14:paraId="14554BA2" w14:textId="2D8303E2" w:rsidR="00541A24" w:rsidRPr="006A261A" w:rsidRDefault="00541A24" w:rsidP="00CE134E">
      <w:pPr>
        <w:spacing w:after="0" w:line="240" w:lineRule="auto"/>
        <w:jc w:val="both"/>
        <w:rPr>
          <w:rFonts w:ascii="Arial" w:hAnsi="Arial" w:cs="Arial"/>
          <w:sz w:val="24"/>
          <w:szCs w:val="24"/>
        </w:rPr>
      </w:pPr>
      <w:r w:rsidRPr="006A261A">
        <w:rPr>
          <w:rFonts w:ascii="Arial" w:hAnsi="Arial" w:cs="Arial"/>
          <w:sz w:val="24"/>
          <w:szCs w:val="24"/>
        </w:rPr>
        <w:t>Whilst a number of the outputs are highlighted as Amber (</w:t>
      </w:r>
      <w:r w:rsidR="001B3CC2" w:rsidRPr="006A261A">
        <w:rPr>
          <w:rFonts w:ascii="Arial" w:hAnsi="Arial" w:cs="Arial"/>
          <w:sz w:val="24"/>
          <w:szCs w:val="24"/>
        </w:rPr>
        <w:t xml:space="preserve">when assessed against </w:t>
      </w:r>
      <w:r w:rsidRPr="006A261A">
        <w:rPr>
          <w:rFonts w:ascii="Arial" w:hAnsi="Arial" w:cs="Arial"/>
          <w:sz w:val="24"/>
          <w:szCs w:val="24"/>
        </w:rPr>
        <w:t xml:space="preserve">the </w:t>
      </w:r>
      <w:r w:rsidR="001B3CC2" w:rsidRPr="006A261A">
        <w:rPr>
          <w:rFonts w:ascii="Arial" w:hAnsi="Arial" w:cs="Arial"/>
          <w:sz w:val="24"/>
          <w:szCs w:val="24"/>
        </w:rPr>
        <w:t>original</w:t>
      </w:r>
      <w:r w:rsidRPr="006A261A">
        <w:rPr>
          <w:rFonts w:ascii="Arial" w:hAnsi="Arial" w:cs="Arial"/>
          <w:sz w:val="24"/>
          <w:szCs w:val="24"/>
        </w:rPr>
        <w:t xml:space="preserve"> 10</w:t>
      </w:r>
      <w:r w:rsidR="0010072C" w:rsidRPr="006A261A">
        <w:rPr>
          <w:rFonts w:ascii="Arial" w:hAnsi="Arial" w:cs="Arial"/>
          <w:sz w:val="24"/>
          <w:szCs w:val="24"/>
        </w:rPr>
        <w:t xml:space="preserve"> (plus 5 year run on)</w:t>
      </w:r>
      <w:r w:rsidRPr="006A261A">
        <w:rPr>
          <w:rFonts w:ascii="Arial" w:hAnsi="Arial" w:cs="Arial"/>
          <w:sz w:val="24"/>
          <w:szCs w:val="24"/>
        </w:rPr>
        <w:t xml:space="preserve"> </w:t>
      </w:r>
      <w:r w:rsidR="00CE134E" w:rsidRPr="006A261A">
        <w:rPr>
          <w:rFonts w:ascii="Arial" w:hAnsi="Arial" w:cs="Arial"/>
          <w:sz w:val="24"/>
          <w:szCs w:val="24"/>
        </w:rPr>
        <w:t xml:space="preserve">year </w:t>
      </w:r>
      <w:r w:rsidRPr="006A261A">
        <w:rPr>
          <w:rFonts w:ascii="Arial" w:hAnsi="Arial" w:cs="Arial"/>
          <w:sz w:val="24"/>
          <w:szCs w:val="24"/>
        </w:rPr>
        <w:t xml:space="preserve">timescale agreed at the outset of the Deal), housing delivery performance in particular has </w:t>
      </w:r>
      <w:r w:rsidR="0010072C" w:rsidRPr="006A261A">
        <w:rPr>
          <w:rFonts w:ascii="Arial" w:hAnsi="Arial" w:cs="Arial"/>
          <w:sz w:val="24"/>
          <w:szCs w:val="24"/>
        </w:rPr>
        <w:t xml:space="preserve">remained consistent year on year.  </w:t>
      </w:r>
      <w:r w:rsidRPr="006A261A">
        <w:rPr>
          <w:rFonts w:ascii="Arial" w:hAnsi="Arial" w:cs="Arial"/>
          <w:sz w:val="24"/>
          <w:szCs w:val="24"/>
        </w:rPr>
        <w:t xml:space="preserve"> </w:t>
      </w:r>
    </w:p>
    <w:p w14:paraId="13FD37B2" w14:textId="744E6D1F" w:rsidR="0010072C" w:rsidRPr="006A261A" w:rsidRDefault="0010072C" w:rsidP="00CE134E">
      <w:pPr>
        <w:spacing w:after="0" w:line="240" w:lineRule="auto"/>
        <w:jc w:val="both"/>
        <w:rPr>
          <w:rFonts w:ascii="Arial" w:hAnsi="Arial" w:cs="Arial"/>
          <w:sz w:val="24"/>
          <w:szCs w:val="24"/>
        </w:rPr>
      </w:pPr>
    </w:p>
    <w:p w14:paraId="7FBD26B5" w14:textId="19AE8120" w:rsidR="0010072C" w:rsidRPr="00541A24" w:rsidRDefault="0010072C" w:rsidP="00CE134E">
      <w:pPr>
        <w:spacing w:after="0" w:line="240" w:lineRule="auto"/>
        <w:jc w:val="both"/>
        <w:rPr>
          <w:rFonts w:ascii="Arial" w:hAnsi="Arial" w:cs="Arial"/>
          <w:sz w:val="24"/>
          <w:szCs w:val="24"/>
        </w:rPr>
      </w:pPr>
      <w:r w:rsidRPr="006A261A">
        <w:rPr>
          <w:rFonts w:ascii="Arial" w:hAnsi="Arial" w:cs="Arial"/>
          <w:sz w:val="24"/>
          <w:szCs w:val="24"/>
        </w:rPr>
        <w:t>The jobs created/safeguarded outputs are buoyed by the inclusion of letting/sales at existing premises, but it is expected that as the portfolio of new commercial development comes to fruition in the next phase of the programme, that the jobs relating to new commercial floorspace will rise significantly.</w:t>
      </w:r>
    </w:p>
    <w:p w14:paraId="7A4969E8" w14:textId="6D70D7DF" w:rsidR="009C214C" w:rsidRDefault="009C214C" w:rsidP="00CE134E">
      <w:pPr>
        <w:spacing w:after="0" w:line="240" w:lineRule="auto"/>
        <w:jc w:val="both"/>
        <w:rPr>
          <w:rFonts w:ascii="Arial" w:hAnsi="Arial" w:cs="Arial"/>
          <w:sz w:val="24"/>
          <w:szCs w:val="24"/>
          <w:u w:val="single"/>
        </w:rPr>
      </w:pPr>
    </w:p>
    <w:tbl>
      <w:tblPr>
        <w:tblStyle w:val="TableGrid1"/>
        <w:tblW w:w="5107" w:type="pct"/>
        <w:tblLayout w:type="fixed"/>
        <w:tblLook w:val="04A0" w:firstRow="1" w:lastRow="0" w:firstColumn="1" w:lastColumn="0" w:noHBand="0" w:noVBand="1"/>
      </w:tblPr>
      <w:tblGrid>
        <w:gridCol w:w="562"/>
        <w:gridCol w:w="4253"/>
        <w:gridCol w:w="2551"/>
        <w:gridCol w:w="1134"/>
        <w:gridCol w:w="709"/>
      </w:tblGrid>
      <w:tr w:rsidR="009C214C" w14:paraId="269AB9E8" w14:textId="77777777">
        <w:tc>
          <w:tcPr>
            <w:tcW w:w="562" w:type="dxa"/>
          </w:tcPr>
          <w:p w14:paraId="33A29A9F" w14:textId="77777777" w:rsidR="009C214C" w:rsidRDefault="009C214C" w:rsidP="00CE134E">
            <w:pPr>
              <w:spacing w:line="276" w:lineRule="auto"/>
              <w:jc w:val="both"/>
              <w:rPr>
                <w:rFonts w:ascii="Arial" w:hAnsi="Arial" w:cs="Arial"/>
                <w:b/>
              </w:rPr>
            </w:pPr>
          </w:p>
        </w:tc>
        <w:tc>
          <w:tcPr>
            <w:tcW w:w="4253" w:type="dxa"/>
          </w:tcPr>
          <w:p w14:paraId="0012969D" w14:textId="7D4BCDCC" w:rsidR="009C214C" w:rsidRPr="00FF6059" w:rsidRDefault="009C214C" w:rsidP="00CE134E">
            <w:pPr>
              <w:spacing w:line="276" w:lineRule="auto"/>
              <w:jc w:val="both"/>
              <w:rPr>
                <w:rFonts w:ascii="Arial" w:hAnsi="Arial" w:cs="Arial"/>
                <w:b/>
              </w:rPr>
            </w:pPr>
            <w:r>
              <w:rPr>
                <w:rFonts w:ascii="Arial" w:hAnsi="Arial" w:cs="Arial"/>
                <w:b/>
              </w:rPr>
              <w:t>Core Metrics</w:t>
            </w:r>
          </w:p>
        </w:tc>
        <w:tc>
          <w:tcPr>
            <w:tcW w:w="2551" w:type="dxa"/>
          </w:tcPr>
          <w:p w14:paraId="6428B822" w14:textId="44CF8266" w:rsidR="009C214C" w:rsidRPr="00FF6059" w:rsidRDefault="009C214C" w:rsidP="00CE134E">
            <w:pPr>
              <w:spacing w:line="276" w:lineRule="auto"/>
              <w:jc w:val="both"/>
              <w:rPr>
                <w:rFonts w:ascii="Arial" w:hAnsi="Arial" w:cs="Arial"/>
                <w:b/>
              </w:rPr>
            </w:pPr>
            <w:r w:rsidRPr="00FF6059">
              <w:rPr>
                <w:rFonts w:ascii="Arial" w:hAnsi="Arial" w:cs="Arial"/>
                <w:b/>
              </w:rPr>
              <w:t xml:space="preserve">Actuals </w:t>
            </w:r>
            <w:r w:rsidR="00E702DD">
              <w:rPr>
                <w:rFonts w:ascii="Arial" w:hAnsi="Arial" w:cs="Arial"/>
                <w:b/>
              </w:rPr>
              <w:t>To Date</w:t>
            </w:r>
          </w:p>
        </w:tc>
        <w:tc>
          <w:tcPr>
            <w:tcW w:w="1134" w:type="dxa"/>
          </w:tcPr>
          <w:p w14:paraId="092CEBEA" w14:textId="77777777" w:rsidR="009C214C" w:rsidRDefault="009C214C" w:rsidP="00CE134E">
            <w:pPr>
              <w:spacing w:line="276" w:lineRule="auto"/>
              <w:jc w:val="both"/>
              <w:rPr>
                <w:rFonts w:ascii="Arial" w:hAnsi="Arial" w:cs="Arial"/>
                <w:b/>
              </w:rPr>
            </w:pPr>
            <w:r w:rsidRPr="00FF6059">
              <w:rPr>
                <w:rFonts w:ascii="Arial" w:hAnsi="Arial" w:cs="Arial"/>
                <w:b/>
              </w:rPr>
              <w:t>Target</w:t>
            </w:r>
          </w:p>
          <w:p w14:paraId="1B631EEA" w14:textId="2A1FA1AB" w:rsidR="009C214C" w:rsidRPr="00FF6059" w:rsidRDefault="00E702DD" w:rsidP="00CE134E">
            <w:pPr>
              <w:spacing w:line="276" w:lineRule="auto"/>
              <w:jc w:val="both"/>
              <w:rPr>
                <w:rFonts w:ascii="Arial" w:hAnsi="Arial" w:cs="Arial"/>
                <w:b/>
              </w:rPr>
            </w:pPr>
            <w:r>
              <w:rPr>
                <w:rFonts w:ascii="Arial" w:hAnsi="Arial" w:cs="Arial"/>
                <w:b/>
              </w:rPr>
              <w:t>By 28/29</w:t>
            </w:r>
          </w:p>
        </w:tc>
        <w:tc>
          <w:tcPr>
            <w:tcW w:w="709" w:type="dxa"/>
          </w:tcPr>
          <w:p w14:paraId="44A5C59C" w14:textId="77777777" w:rsidR="009C214C" w:rsidRPr="00FF6059" w:rsidRDefault="009C214C" w:rsidP="00CE134E">
            <w:pPr>
              <w:spacing w:line="276" w:lineRule="auto"/>
              <w:jc w:val="both"/>
              <w:rPr>
                <w:rFonts w:ascii="Arial" w:hAnsi="Arial" w:cs="Arial"/>
                <w:b/>
              </w:rPr>
            </w:pPr>
            <w:r>
              <w:rPr>
                <w:rFonts w:ascii="Arial" w:hAnsi="Arial" w:cs="Arial"/>
                <w:b/>
              </w:rPr>
              <w:t>RAG</w:t>
            </w:r>
          </w:p>
        </w:tc>
      </w:tr>
      <w:tr w:rsidR="009C214C" w14:paraId="594DF3BD" w14:textId="77777777" w:rsidTr="009C214C">
        <w:trPr>
          <w:trHeight w:val="414"/>
        </w:trPr>
        <w:tc>
          <w:tcPr>
            <w:tcW w:w="562" w:type="dxa"/>
          </w:tcPr>
          <w:p w14:paraId="18DAB0A8" w14:textId="77777777" w:rsidR="009C214C" w:rsidRPr="00FF6059" w:rsidRDefault="009C214C" w:rsidP="00CE134E">
            <w:pPr>
              <w:spacing w:line="276" w:lineRule="auto"/>
              <w:jc w:val="both"/>
              <w:rPr>
                <w:rFonts w:ascii="Arial" w:hAnsi="Arial" w:cs="Arial"/>
              </w:rPr>
            </w:pPr>
            <w:r>
              <w:rPr>
                <w:rFonts w:ascii="Arial" w:hAnsi="Arial" w:cs="Arial"/>
              </w:rPr>
              <w:t>1</w:t>
            </w:r>
          </w:p>
        </w:tc>
        <w:tc>
          <w:tcPr>
            <w:tcW w:w="4253" w:type="dxa"/>
          </w:tcPr>
          <w:p w14:paraId="18B7D96D" w14:textId="77777777" w:rsidR="009C214C" w:rsidRPr="00FF6059" w:rsidRDefault="009C214C" w:rsidP="00CE134E">
            <w:pPr>
              <w:spacing w:line="276" w:lineRule="auto"/>
              <w:jc w:val="both"/>
              <w:rPr>
                <w:rFonts w:ascii="Arial" w:hAnsi="Arial" w:cs="Arial"/>
              </w:rPr>
            </w:pPr>
            <w:r w:rsidRPr="00FF6059">
              <w:rPr>
                <w:rFonts w:ascii="Arial" w:hAnsi="Arial" w:cs="Arial"/>
              </w:rPr>
              <w:t xml:space="preserve">Total number of Housing units completed </w:t>
            </w:r>
            <w:r>
              <w:rPr>
                <w:rFonts w:ascii="Arial" w:hAnsi="Arial" w:cs="Arial"/>
              </w:rPr>
              <w:t>– by 28/29</w:t>
            </w:r>
          </w:p>
        </w:tc>
        <w:tc>
          <w:tcPr>
            <w:tcW w:w="2551" w:type="dxa"/>
          </w:tcPr>
          <w:p w14:paraId="601CED82" w14:textId="6F068ECC" w:rsidR="009C214C" w:rsidRPr="00FF6059" w:rsidRDefault="006B5002" w:rsidP="00CE134E">
            <w:pPr>
              <w:tabs>
                <w:tab w:val="left" w:pos="885"/>
              </w:tabs>
              <w:spacing w:line="276" w:lineRule="auto"/>
              <w:jc w:val="both"/>
              <w:rPr>
                <w:rFonts w:ascii="Arial" w:hAnsi="Arial" w:cs="Arial"/>
              </w:rPr>
            </w:pPr>
            <w:r>
              <w:rPr>
                <w:rFonts w:ascii="Arial" w:hAnsi="Arial" w:cs="Arial"/>
              </w:rPr>
              <w:t>10,421</w:t>
            </w:r>
          </w:p>
        </w:tc>
        <w:tc>
          <w:tcPr>
            <w:tcW w:w="1134" w:type="dxa"/>
          </w:tcPr>
          <w:p w14:paraId="50D075EF"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17,420</w:t>
            </w:r>
          </w:p>
        </w:tc>
        <w:tc>
          <w:tcPr>
            <w:tcW w:w="709" w:type="dxa"/>
            <w:shd w:val="clear" w:color="auto" w:fill="FFC000"/>
          </w:tcPr>
          <w:p w14:paraId="68492644" w14:textId="77777777" w:rsidR="009C214C" w:rsidRPr="00FF6059" w:rsidRDefault="009C214C" w:rsidP="00CE134E">
            <w:pPr>
              <w:tabs>
                <w:tab w:val="left" w:pos="885"/>
              </w:tabs>
              <w:spacing w:line="276" w:lineRule="auto"/>
              <w:jc w:val="both"/>
              <w:rPr>
                <w:rFonts w:ascii="Arial" w:hAnsi="Arial" w:cs="Arial"/>
              </w:rPr>
            </w:pPr>
          </w:p>
        </w:tc>
      </w:tr>
      <w:tr w:rsidR="009C214C" w14:paraId="6F0195E3" w14:textId="77777777">
        <w:tc>
          <w:tcPr>
            <w:tcW w:w="562" w:type="dxa"/>
          </w:tcPr>
          <w:p w14:paraId="1E8C8F3A" w14:textId="77777777" w:rsidR="009C214C" w:rsidRPr="00752AA8" w:rsidRDefault="009C214C" w:rsidP="00CE134E">
            <w:pPr>
              <w:spacing w:line="276" w:lineRule="auto"/>
              <w:jc w:val="both"/>
              <w:rPr>
                <w:rFonts w:ascii="Arial" w:hAnsi="Arial" w:cs="Arial"/>
              </w:rPr>
            </w:pPr>
            <w:r w:rsidRPr="00752AA8">
              <w:rPr>
                <w:rFonts w:ascii="Arial" w:hAnsi="Arial" w:cs="Arial"/>
              </w:rPr>
              <w:t>2</w:t>
            </w:r>
          </w:p>
        </w:tc>
        <w:tc>
          <w:tcPr>
            <w:tcW w:w="4253" w:type="dxa"/>
          </w:tcPr>
          <w:p w14:paraId="115F5753" w14:textId="409B3B62" w:rsidR="009C214C" w:rsidRPr="00752AA8" w:rsidRDefault="009C214C" w:rsidP="00CE134E">
            <w:pPr>
              <w:spacing w:line="276" w:lineRule="auto"/>
              <w:jc w:val="both"/>
              <w:rPr>
                <w:rFonts w:ascii="Arial" w:hAnsi="Arial" w:cs="Arial"/>
              </w:rPr>
            </w:pPr>
            <w:r w:rsidRPr="00752AA8">
              <w:rPr>
                <w:rFonts w:ascii="Arial" w:hAnsi="Arial" w:cs="Arial"/>
              </w:rPr>
              <w:t xml:space="preserve">Number of Housing units </w:t>
            </w:r>
            <w:r w:rsidR="008B30A7">
              <w:rPr>
                <w:rFonts w:ascii="Arial" w:hAnsi="Arial" w:cs="Arial"/>
              </w:rPr>
              <w:t>–</w:t>
            </w:r>
            <w:r w:rsidRPr="00752AA8">
              <w:rPr>
                <w:rFonts w:ascii="Arial" w:hAnsi="Arial" w:cs="Arial"/>
              </w:rPr>
              <w:t xml:space="preserve"> Planning Consented </w:t>
            </w:r>
          </w:p>
        </w:tc>
        <w:tc>
          <w:tcPr>
            <w:tcW w:w="2551" w:type="dxa"/>
          </w:tcPr>
          <w:p w14:paraId="11A5C7EC" w14:textId="690B40C8" w:rsidR="009C214C" w:rsidRPr="00752AA8" w:rsidRDefault="009C214C" w:rsidP="00CE134E">
            <w:pPr>
              <w:spacing w:line="276" w:lineRule="auto"/>
              <w:jc w:val="both"/>
              <w:rPr>
                <w:rFonts w:ascii="Arial" w:hAnsi="Arial" w:cs="Arial"/>
              </w:rPr>
            </w:pPr>
            <w:r w:rsidRPr="00E702DD">
              <w:rPr>
                <w:rFonts w:ascii="Arial" w:hAnsi="Arial" w:cs="Arial"/>
              </w:rPr>
              <w:t>2</w:t>
            </w:r>
            <w:r w:rsidR="00076294">
              <w:rPr>
                <w:rFonts w:ascii="Arial" w:hAnsi="Arial" w:cs="Arial"/>
              </w:rPr>
              <w:t>2,333</w:t>
            </w:r>
            <w:r w:rsidRPr="00E702DD">
              <w:rPr>
                <w:rStyle w:val="FootnoteReference"/>
                <w:rFonts w:ascii="Arial" w:hAnsi="Arial" w:cs="Arial"/>
              </w:rPr>
              <w:footnoteReference w:id="2"/>
            </w:r>
          </w:p>
        </w:tc>
        <w:tc>
          <w:tcPr>
            <w:tcW w:w="1134" w:type="dxa"/>
          </w:tcPr>
          <w:p w14:paraId="1FF36820" w14:textId="77777777" w:rsidR="009C214C" w:rsidRPr="00752AA8" w:rsidRDefault="009C214C" w:rsidP="00CE134E">
            <w:pPr>
              <w:spacing w:line="276" w:lineRule="auto"/>
              <w:jc w:val="both"/>
              <w:rPr>
                <w:rFonts w:ascii="Arial" w:hAnsi="Arial" w:cs="Arial"/>
              </w:rPr>
            </w:pPr>
            <w:r w:rsidRPr="00752AA8">
              <w:rPr>
                <w:rFonts w:ascii="Arial" w:hAnsi="Arial" w:cs="Arial"/>
              </w:rPr>
              <w:t>17,420</w:t>
            </w:r>
          </w:p>
        </w:tc>
        <w:tc>
          <w:tcPr>
            <w:tcW w:w="709" w:type="dxa"/>
            <w:shd w:val="clear" w:color="auto" w:fill="92D050"/>
          </w:tcPr>
          <w:p w14:paraId="57EE60BA" w14:textId="77777777" w:rsidR="009C214C" w:rsidRPr="00752AA8" w:rsidRDefault="009C214C" w:rsidP="00CE134E">
            <w:pPr>
              <w:spacing w:line="276" w:lineRule="auto"/>
              <w:jc w:val="both"/>
              <w:rPr>
                <w:rFonts w:ascii="Arial" w:hAnsi="Arial" w:cs="Arial"/>
              </w:rPr>
            </w:pPr>
          </w:p>
        </w:tc>
      </w:tr>
      <w:tr w:rsidR="009C214C" w14:paraId="798BB763" w14:textId="77777777" w:rsidTr="001426B6">
        <w:tc>
          <w:tcPr>
            <w:tcW w:w="562" w:type="dxa"/>
          </w:tcPr>
          <w:p w14:paraId="2AE008E5" w14:textId="77777777" w:rsidR="009C214C" w:rsidRPr="00FF6059" w:rsidRDefault="009C214C" w:rsidP="00CE134E">
            <w:pPr>
              <w:spacing w:line="276" w:lineRule="auto"/>
              <w:jc w:val="both"/>
              <w:rPr>
                <w:rFonts w:ascii="Arial" w:hAnsi="Arial" w:cs="Arial"/>
              </w:rPr>
            </w:pPr>
            <w:r>
              <w:rPr>
                <w:rFonts w:ascii="Arial" w:hAnsi="Arial" w:cs="Arial"/>
              </w:rPr>
              <w:t>3</w:t>
            </w:r>
          </w:p>
        </w:tc>
        <w:tc>
          <w:tcPr>
            <w:tcW w:w="4253" w:type="dxa"/>
          </w:tcPr>
          <w:p w14:paraId="6FC21487" w14:textId="77777777" w:rsidR="009C214C" w:rsidRPr="00FF6059" w:rsidRDefault="009C214C" w:rsidP="00CE134E">
            <w:pPr>
              <w:spacing w:line="276" w:lineRule="auto"/>
              <w:jc w:val="both"/>
              <w:rPr>
                <w:rFonts w:ascii="Arial" w:hAnsi="Arial" w:cs="Arial"/>
              </w:rPr>
            </w:pPr>
            <w:r w:rsidRPr="00FF6059">
              <w:rPr>
                <w:rFonts w:ascii="Arial" w:hAnsi="Arial" w:cs="Arial"/>
              </w:rPr>
              <w:t>Commercial floorspace completed (sqm)</w:t>
            </w:r>
          </w:p>
        </w:tc>
        <w:tc>
          <w:tcPr>
            <w:tcW w:w="2551" w:type="dxa"/>
          </w:tcPr>
          <w:p w14:paraId="039A68FF" w14:textId="6F3BAB16" w:rsidR="009C214C" w:rsidRPr="00FF6059" w:rsidRDefault="00AE10DB" w:rsidP="00CE134E">
            <w:pPr>
              <w:tabs>
                <w:tab w:val="left" w:pos="885"/>
              </w:tabs>
              <w:spacing w:line="276" w:lineRule="auto"/>
              <w:jc w:val="both"/>
              <w:rPr>
                <w:rFonts w:ascii="Arial" w:hAnsi="Arial" w:cs="Arial"/>
              </w:rPr>
            </w:pPr>
            <w:r>
              <w:rPr>
                <w:rFonts w:ascii="Arial" w:hAnsi="Arial" w:cs="Arial"/>
              </w:rPr>
              <w:t>264,265</w:t>
            </w:r>
          </w:p>
        </w:tc>
        <w:tc>
          <w:tcPr>
            <w:tcW w:w="1134" w:type="dxa"/>
          </w:tcPr>
          <w:p w14:paraId="55BAAC1E" w14:textId="77777777" w:rsidR="009C214C" w:rsidRPr="00FF6059" w:rsidRDefault="009C214C" w:rsidP="00CE134E">
            <w:pPr>
              <w:tabs>
                <w:tab w:val="left" w:pos="885"/>
              </w:tabs>
              <w:spacing w:line="276" w:lineRule="auto"/>
              <w:jc w:val="both"/>
              <w:rPr>
                <w:rFonts w:ascii="Arial" w:hAnsi="Arial" w:cs="Arial"/>
              </w:rPr>
            </w:pPr>
            <w:r>
              <w:rPr>
                <w:rFonts w:ascii="Arial" w:hAnsi="Arial" w:cs="Arial"/>
              </w:rPr>
              <w:t>441,657</w:t>
            </w:r>
          </w:p>
        </w:tc>
        <w:tc>
          <w:tcPr>
            <w:tcW w:w="709" w:type="dxa"/>
            <w:shd w:val="clear" w:color="auto" w:fill="FFC000"/>
          </w:tcPr>
          <w:p w14:paraId="7569DE8D" w14:textId="77777777" w:rsidR="009C214C" w:rsidRPr="00FF6059" w:rsidRDefault="009C214C" w:rsidP="00CE134E">
            <w:pPr>
              <w:tabs>
                <w:tab w:val="left" w:pos="885"/>
              </w:tabs>
              <w:spacing w:line="276" w:lineRule="auto"/>
              <w:jc w:val="both"/>
              <w:rPr>
                <w:rFonts w:ascii="Arial" w:hAnsi="Arial" w:cs="Arial"/>
              </w:rPr>
            </w:pPr>
          </w:p>
        </w:tc>
      </w:tr>
      <w:tr w:rsidR="009C214C" w14:paraId="65E0D336" w14:textId="77777777" w:rsidTr="00E702DD">
        <w:tc>
          <w:tcPr>
            <w:tcW w:w="562" w:type="dxa"/>
          </w:tcPr>
          <w:p w14:paraId="00074E06" w14:textId="77777777" w:rsidR="009C214C" w:rsidRPr="00E702DD" w:rsidRDefault="009C214C" w:rsidP="00CE134E">
            <w:pPr>
              <w:spacing w:line="276" w:lineRule="auto"/>
              <w:jc w:val="both"/>
              <w:rPr>
                <w:rFonts w:ascii="Arial" w:hAnsi="Arial" w:cs="Arial"/>
              </w:rPr>
            </w:pPr>
            <w:r w:rsidRPr="00E702DD">
              <w:rPr>
                <w:rFonts w:ascii="Arial" w:hAnsi="Arial" w:cs="Arial"/>
              </w:rPr>
              <w:t>4</w:t>
            </w:r>
          </w:p>
        </w:tc>
        <w:tc>
          <w:tcPr>
            <w:tcW w:w="4253" w:type="dxa"/>
          </w:tcPr>
          <w:p w14:paraId="3348F5CD" w14:textId="5F12B25A" w:rsidR="009C214C" w:rsidRPr="00AE10DB" w:rsidRDefault="009C214C" w:rsidP="00CE134E">
            <w:pPr>
              <w:spacing w:line="276" w:lineRule="auto"/>
              <w:jc w:val="both"/>
              <w:rPr>
                <w:rFonts w:ascii="Arial" w:hAnsi="Arial" w:cs="Arial"/>
                <w:highlight w:val="yellow"/>
              </w:rPr>
            </w:pPr>
            <w:r w:rsidRPr="00F8645C">
              <w:rPr>
                <w:rFonts w:ascii="Arial" w:hAnsi="Arial" w:cs="Arial"/>
              </w:rPr>
              <w:t xml:space="preserve">Jobs created or safeguarded </w:t>
            </w:r>
          </w:p>
        </w:tc>
        <w:tc>
          <w:tcPr>
            <w:tcW w:w="2551" w:type="dxa"/>
          </w:tcPr>
          <w:p w14:paraId="110A871A" w14:textId="3DF10BA3" w:rsidR="009C214C" w:rsidRPr="00E702DD" w:rsidRDefault="001426B6" w:rsidP="00CE134E">
            <w:pPr>
              <w:tabs>
                <w:tab w:val="left" w:pos="885"/>
              </w:tabs>
              <w:spacing w:line="276" w:lineRule="auto"/>
              <w:jc w:val="both"/>
              <w:rPr>
                <w:rFonts w:ascii="Arial" w:hAnsi="Arial" w:cs="Arial"/>
              </w:rPr>
            </w:pPr>
            <w:r w:rsidRPr="00E702DD">
              <w:rPr>
                <w:rFonts w:ascii="Arial" w:hAnsi="Arial" w:cs="Arial"/>
              </w:rPr>
              <w:t>2</w:t>
            </w:r>
            <w:r w:rsidR="00F8645C">
              <w:rPr>
                <w:rFonts w:ascii="Arial" w:hAnsi="Arial" w:cs="Arial"/>
              </w:rPr>
              <w:t>7,</w:t>
            </w:r>
            <w:r w:rsidR="00DD43C1">
              <w:rPr>
                <w:rFonts w:ascii="Arial" w:hAnsi="Arial" w:cs="Arial"/>
              </w:rPr>
              <w:t>691</w:t>
            </w:r>
            <w:r w:rsidRPr="00E702DD">
              <w:rPr>
                <w:rStyle w:val="FootnoteReference"/>
                <w:rFonts w:ascii="Arial" w:hAnsi="Arial" w:cs="Arial"/>
              </w:rPr>
              <w:footnoteReference w:id="3"/>
            </w:r>
          </w:p>
        </w:tc>
        <w:tc>
          <w:tcPr>
            <w:tcW w:w="1134" w:type="dxa"/>
          </w:tcPr>
          <w:p w14:paraId="5BEDB873" w14:textId="77777777" w:rsidR="009C214C" w:rsidRPr="00E702DD" w:rsidRDefault="009C214C" w:rsidP="00CE134E">
            <w:pPr>
              <w:tabs>
                <w:tab w:val="left" w:pos="885"/>
              </w:tabs>
              <w:spacing w:line="276" w:lineRule="auto"/>
              <w:jc w:val="both"/>
              <w:rPr>
                <w:rFonts w:ascii="Arial" w:hAnsi="Arial" w:cs="Arial"/>
              </w:rPr>
            </w:pPr>
            <w:r w:rsidRPr="00E702DD">
              <w:rPr>
                <w:rFonts w:ascii="Arial" w:hAnsi="Arial" w:cs="Arial"/>
              </w:rPr>
              <w:t>20,000</w:t>
            </w:r>
          </w:p>
        </w:tc>
        <w:tc>
          <w:tcPr>
            <w:tcW w:w="709" w:type="dxa"/>
            <w:shd w:val="clear" w:color="auto" w:fill="FFC000"/>
          </w:tcPr>
          <w:p w14:paraId="49CA02F8" w14:textId="77777777" w:rsidR="009C214C" w:rsidRPr="00A11F97" w:rsidRDefault="009C214C" w:rsidP="00CE134E">
            <w:pPr>
              <w:tabs>
                <w:tab w:val="left" w:pos="885"/>
              </w:tabs>
              <w:spacing w:line="276" w:lineRule="auto"/>
              <w:jc w:val="both"/>
              <w:rPr>
                <w:rFonts w:ascii="Arial" w:hAnsi="Arial" w:cs="Arial"/>
              </w:rPr>
            </w:pPr>
          </w:p>
        </w:tc>
      </w:tr>
      <w:tr w:rsidR="009C214C" w14:paraId="56DAAA8B" w14:textId="77777777" w:rsidTr="00D56CDA">
        <w:tc>
          <w:tcPr>
            <w:tcW w:w="562" w:type="dxa"/>
          </w:tcPr>
          <w:p w14:paraId="7D13A6C4" w14:textId="77777777" w:rsidR="009C214C" w:rsidRPr="00FF6059" w:rsidRDefault="009C214C" w:rsidP="00CE134E">
            <w:pPr>
              <w:spacing w:line="276" w:lineRule="auto"/>
              <w:jc w:val="both"/>
              <w:rPr>
                <w:rFonts w:ascii="Arial" w:hAnsi="Arial" w:cs="Arial"/>
              </w:rPr>
            </w:pPr>
            <w:r>
              <w:rPr>
                <w:rFonts w:ascii="Arial" w:hAnsi="Arial" w:cs="Arial"/>
              </w:rPr>
              <w:t>5</w:t>
            </w:r>
          </w:p>
        </w:tc>
        <w:tc>
          <w:tcPr>
            <w:tcW w:w="4253" w:type="dxa"/>
          </w:tcPr>
          <w:p w14:paraId="75F19979" w14:textId="77777777" w:rsidR="009C214C" w:rsidRPr="00E8416F" w:rsidRDefault="009C214C" w:rsidP="00CE134E">
            <w:pPr>
              <w:spacing w:line="276" w:lineRule="auto"/>
              <w:jc w:val="both"/>
              <w:rPr>
                <w:rFonts w:ascii="Arial" w:hAnsi="Arial" w:cs="Arial"/>
                <w:highlight w:val="yellow"/>
              </w:rPr>
            </w:pPr>
            <w:r w:rsidRPr="00D54880">
              <w:rPr>
                <w:rFonts w:ascii="Arial" w:hAnsi="Arial" w:cs="Arial"/>
              </w:rPr>
              <w:t>Public Sector Investment (£m)</w:t>
            </w:r>
          </w:p>
        </w:tc>
        <w:tc>
          <w:tcPr>
            <w:tcW w:w="2551" w:type="dxa"/>
          </w:tcPr>
          <w:p w14:paraId="5099A2EE" w14:textId="13A0C224" w:rsidR="009C214C" w:rsidRPr="00FF6059" w:rsidRDefault="009C214C" w:rsidP="00CE134E">
            <w:pPr>
              <w:tabs>
                <w:tab w:val="left" w:pos="885"/>
              </w:tabs>
              <w:spacing w:line="276" w:lineRule="auto"/>
              <w:jc w:val="both"/>
              <w:rPr>
                <w:rFonts w:ascii="Arial" w:hAnsi="Arial" w:cs="Arial"/>
              </w:rPr>
            </w:pPr>
            <w:r>
              <w:rPr>
                <w:rFonts w:ascii="Arial" w:hAnsi="Arial" w:cs="Arial"/>
              </w:rPr>
              <w:t>£</w:t>
            </w:r>
            <w:r w:rsidR="00BE472A">
              <w:rPr>
                <w:rFonts w:ascii="Arial" w:hAnsi="Arial" w:cs="Arial"/>
              </w:rPr>
              <w:t>197</w:t>
            </w:r>
            <w:r w:rsidR="00D56CDA">
              <w:rPr>
                <w:rStyle w:val="FootnoteReference"/>
                <w:rFonts w:ascii="Arial" w:hAnsi="Arial" w:cs="Arial"/>
              </w:rPr>
              <w:footnoteReference w:id="4"/>
            </w:r>
          </w:p>
        </w:tc>
        <w:tc>
          <w:tcPr>
            <w:tcW w:w="1134" w:type="dxa"/>
            <w:shd w:val="clear" w:color="auto" w:fill="auto"/>
          </w:tcPr>
          <w:p w14:paraId="310C548F" w14:textId="77777777" w:rsidR="009C214C" w:rsidRPr="00FF6059" w:rsidRDefault="009C214C" w:rsidP="00CE134E">
            <w:pPr>
              <w:tabs>
                <w:tab w:val="left" w:pos="885"/>
              </w:tabs>
              <w:spacing w:line="276" w:lineRule="auto"/>
              <w:jc w:val="both"/>
              <w:rPr>
                <w:rFonts w:ascii="Arial" w:hAnsi="Arial" w:cs="Arial"/>
              </w:rPr>
            </w:pPr>
            <w:r>
              <w:rPr>
                <w:rFonts w:ascii="Arial" w:hAnsi="Arial" w:cs="Arial"/>
              </w:rPr>
              <w:t>£</w:t>
            </w:r>
            <w:r w:rsidRPr="00FF6059">
              <w:rPr>
                <w:rFonts w:ascii="Arial" w:hAnsi="Arial" w:cs="Arial"/>
              </w:rPr>
              <w:t>342</w:t>
            </w:r>
          </w:p>
        </w:tc>
        <w:tc>
          <w:tcPr>
            <w:tcW w:w="709" w:type="dxa"/>
            <w:shd w:val="clear" w:color="auto" w:fill="FFC000"/>
          </w:tcPr>
          <w:p w14:paraId="4114D275" w14:textId="77777777" w:rsidR="009C214C" w:rsidRPr="00FF6059" w:rsidRDefault="009C214C" w:rsidP="00CE134E">
            <w:pPr>
              <w:tabs>
                <w:tab w:val="left" w:pos="885"/>
              </w:tabs>
              <w:spacing w:line="276" w:lineRule="auto"/>
              <w:jc w:val="both"/>
              <w:rPr>
                <w:rFonts w:ascii="Arial" w:hAnsi="Arial" w:cs="Arial"/>
              </w:rPr>
            </w:pPr>
          </w:p>
        </w:tc>
      </w:tr>
      <w:tr w:rsidR="009C214C" w14:paraId="72FB5921" w14:textId="77777777">
        <w:tc>
          <w:tcPr>
            <w:tcW w:w="562" w:type="dxa"/>
          </w:tcPr>
          <w:p w14:paraId="1DCD80BF" w14:textId="77777777" w:rsidR="009C214C" w:rsidRPr="00FF6059" w:rsidRDefault="009C214C" w:rsidP="00CE134E">
            <w:pPr>
              <w:spacing w:line="276" w:lineRule="auto"/>
              <w:jc w:val="both"/>
              <w:rPr>
                <w:rFonts w:ascii="Arial" w:hAnsi="Arial" w:cs="Arial"/>
              </w:rPr>
            </w:pPr>
            <w:r>
              <w:rPr>
                <w:rFonts w:ascii="Arial" w:hAnsi="Arial" w:cs="Arial"/>
              </w:rPr>
              <w:t>6</w:t>
            </w:r>
          </w:p>
        </w:tc>
        <w:tc>
          <w:tcPr>
            <w:tcW w:w="4253" w:type="dxa"/>
          </w:tcPr>
          <w:p w14:paraId="6FD0E897" w14:textId="77777777" w:rsidR="009C214C" w:rsidRPr="00E8416F" w:rsidRDefault="009C214C" w:rsidP="00CE134E">
            <w:pPr>
              <w:spacing w:line="276" w:lineRule="auto"/>
              <w:jc w:val="both"/>
              <w:rPr>
                <w:rFonts w:ascii="Arial" w:hAnsi="Arial" w:cs="Arial"/>
                <w:highlight w:val="yellow"/>
              </w:rPr>
            </w:pPr>
            <w:r w:rsidRPr="00D54880">
              <w:rPr>
                <w:rFonts w:ascii="Arial" w:hAnsi="Arial" w:cs="Arial"/>
              </w:rPr>
              <w:t>Private Sector investment (£m)</w:t>
            </w:r>
          </w:p>
        </w:tc>
        <w:tc>
          <w:tcPr>
            <w:tcW w:w="2551" w:type="dxa"/>
          </w:tcPr>
          <w:p w14:paraId="3C77D474" w14:textId="71FD3AF0" w:rsidR="009C214C" w:rsidRPr="00FF6059" w:rsidRDefault="009C214C" w:rsidP="00CE134E">
            <w:pPr>
              <w:tabs>
                <w:tab w:val="left" w:pos="885"/>
              </w:tabs>
              <w:spacing w:line="276" w:lineRule="auto"/>
              <w:jc w:val="both"/>
              <w:rPr>
                <w:rFonts w:ascii="Arial" w:hAnsi="Arial" w:cs="Arial"/>
              </w:rPr>
            </w:pPr>
            <w:r>
              <w:rPr>
                <w:rFonts w:ascii="Arial" w:hAnsi="Arial" w:cs="Arial"/>
              </w:rPr>
              <w:t>£</w:t>
            </w:r>
            <w:r w:rsidR="00BE472A">
              <w:rPr>
                <w:rFonts w:ascii="Arial" w:hAnsi="Arial" w:cs="Arial"/>
              </w:rPr>
              <w:t>46</w:t>
            </w:r>
          </w:p>
        </w:tc>
        <w:tc>
          <w:tcPr>
            <w:tcW w:w="1134" w:type="dxa"/>
            <w:shd w:val="clear" w:color="auto" w:fill="auto"/>
          </w:tcPr>
          <w:p w14:paraId="5C1E39AF" w14:textId="77777777" w:rsidR="009C214C" w:rsidRPr="00FF6059" w:rsidRDefault="009C214C" w:rsidP="00CE134E">
            <w:pPr>
              <w:tabs>
                <w:tab w:val="left" w:pos="885"/>
              </w:tabs>
              <w:spacing w:line="276" w:lineRule="auto"/>
              <w:jc w:val="both"/>
              <w:rPr>
                <w:rFonts w:ascii="Arial" w:hAnsi="Arial" w:cs="Arial"/>
              </w:rPr>
            </w:pPr>
            <w:r>
              <w:rPr>
                <w:rFonts w:ascii="Arial" w:hAnsi="Arial" w:cs="Arial"/>
              </w:rPr>
              <w:t>£</w:t>
            </w:r>
            <w:r w:rsidRPr="00FF6059">
              <w:rPr>
                <w:rFonts w:ascii="Arial" w:hAnsi="Arial" w:cs="Arial"/>
              </w:rPr>
              <w:t>82</w:t>
            </w:r>
          </w:p>
        </w:tc>
        <w:tc>
          <w:tcPr>
            <w:tcW w:w="709" w:type="dxa"/>
            <w:shd w:val="clear" w:color="auto" w:fill="FFC000"/>
          </w:tcPr>
          <w:p w14:paraId="0E97DCB9" w14:textId="77777777" w:rsidR="009C214C" w:rsidRPr="00FF6059" w:rsidRDefault="009C214C" w:rsidP="00CE134E">
            <w:pPr>
              <w:tabs>
                <w:tab w:val="left" w:pos="885"/>
              </w:tabs>
              <w:spacing w:line="276" w:lineRule="auto"/>
              <w:jc w:val="both"/>
              <w:rPr>
                <w:rFonts w:ascii="Arial" w:hAnsi="Arial" w:cs="Arial"/>
              </w:rPr>
            </w:pPr>
          </w:p>
        </w:tc>
      </w:tr>
      <w:tr w:rsidR="009C214C" w14:paraId="07D46244" w14:textId="77777777">
        <w:tc>
          <w:tcPr>
            <w:tcW w:w="562" w:type="dxa"/>
          </w:tcPr>
          <w:p w14:paraId="2F974279" w14:textId="77777777" w:rsidR="009C214C" w:rsidRPr="00FF6059" w:rsidRDefault="009C214C" w:rsidP="00CE134E">
            <w:pPr>
              <w:spacing w:line="276" w:lineRule="auto"/>
              <w:jc w:val="both"/>
              <w:rPr>
                <w:rFonts w:ascii="Arial" w:hAnsi="Arial" w:cs="Arial"/>
              </w:rPr>
            </w:pPr>
            <w:r>
              <w:rPr>
                <w:rFonts w:ascii="Arial" w:hAnsi="Arial" w:cs="Arial"/>
              </w:rPr>
              <w:t>7</w:t>
            </w:r>
          </w:p>
        </w:tc>
        <w:tc>
          <w:tcPr>
            <w:tcW w:w="4253" w:type="dxa"/>
          </w:tcPr>
          <w:p w14:paraId="58DDDC9E" w14:textId="77777777" w:rsidR="009C214C" w:rsidRPr="00FF6059" w:rsidRDefault="009C214C" w:rsidP="00CE134E">
            <w:pPr>
              <w:spacing w:line="276" w:lineRule="auto"/>
              <w:jc w:val="both"/>
              <w:rPr>
                <w:rFonts w:ascii="Arial" w:hAnsi="Arial" w:cs="Arial"/>
              </w:rPr>
            </w:pPr>
            <w:r w:rsidRPr="00FF6059">
              <w:rPr>
                <w:rFonts w:ascii="Arial" w:hAnsi="Arial" w:cs="Arial"/>
              </w:rPr>
              <w:t xml:space="preserve">Construction of Broughton Bypass </w:t>
            </w:r>
          </w:p>
        </w:tc>
        <w:tc>
          <w:tcPr>
            <w:tcW w:w="2551" w:type="dxa"/>
          </w:tcPr>
          <w:p w14:paraId="5265903C"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Complete</w:t>
            </w:r>
          </w:p>
        </w:tc>
        <w:tc>
          <w:tcPr>
            <w:tcW w:w="1134" w:type="dxa"/>
          </w:tcPr>
          <w:p w14:paraId="1D5B2AC9"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w:t>
            </w:r>
          </w:p>
        </w:tc>
        <w:tc>
          <w:tcPr>
            <w:tcW w:w="709" w:type="dxa"/>
            <w:shd w:val="clear" w:color="auto" w:fill="92D050"/>
          </w:tcPr>
          <w:p w14:paraId="4D852474" w14:textId="77777777" w:rsidR="009C214C" w:rsidRPr="00FF6059" w:rsidRDefault="009C214C" w:rsidP="00CE134E">
            <w:pPr>
              <w:tabs>
                <w:tab w:val="left" w:pos="885"/>
              </w:tabs>
              <w:spacing w:line="276" w:lineRule="auto"/>
              <w:jc w:val="both"/>
              <w:rPr>
                <w:rFonts w:ascii="Arial" w:hAnsi="Arial" w:cs="Arial"/>
              </w:rPr>
            </w:pPr>
          </w:p>
        </w:tc>
      </w:tr>
      <w:tr w:rsidR="009C214C" w14:paraId="55053DA6" w14:textId="77777777" w:rsidTr="00260C33">
        <w:tc>
          <w:tcPr>
            <w:tcW w:w="562" w:type="dxa"/>
          </w:tcPr>
          <w:p w14:paraId="79CA824C" w14:textId="77777777" w:rsidR="009C214C" w:rsidRPr="00FF6059" w:rsidRDefault="009C214C" w:rsidP="00CE134E">
            <w:pPr>
              <w:spacing w:line="276" w:lineRule="auto"/>
              <w:jc w:val="both"/>
              <w:rPr>
                <w:rFonts w:ascii="Arial" w:hAnsi="Arial" w:cs="Arial"/>
              </w:rPr>
            </w:pPr>
            <w:r>
              <w:rPr>
                <w:rFonts w:ascii="Arial" w:hAnsi="Arial" w:cs="Arial"/>
              </w:rPr>
              <w:t>8</w:t>
            </w:r>
          </w:p>
        </w:tc>
        <w:tc>
          <w:tcPr>
            <w:tcW w:w="4253" w:type="dxa"/>
          </w:tcPr>
          <w:p w14:paraId="68F59545" w14:textId="77777777" w:rsidR="009C214C" w:rsidRPr="00FF6059" w:rsidRDefault="009C214C" w:rsidP="00CE134E">
            <w:pPr>
              <w:spacing w:line="276" w:lineRule="auto"/>
              <w:jc w:val="both"/>
              <w:rPr>
                <w:rFonts w:ascii="Arial" w:hAnsi="Arial" w:cs="Arial"/>
              </w:rPr>
            </w:pPr>
            <w:r w:rsidRPr="00260C33">
              <w:rPr>
                <w:rFonts w:ascii="Arial" w:hAnsi="Arial" w:cs="Arial"/>
              </w:rPr>
              <w:t>Construction of Preston Western Distributor</w:t>
            </w:r>
          </w:p>
        </w:tc>
        <w:tc>
          <w:tcPr>
            <w:tcW w:w="2551" w:type="dxa"/>
          </w:tcPr>
          <w:p w14:paraId="306C550E"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Under Construction</w:t>
            </w:r>
          </w:p>
        </w:tc>
        <w:tc>
          <w:tcPr>
            <w:tcW w:w="1134" w:type="dxa"/>
          </w:tcPr>
          <w:p w14:paraId="4707BD85"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w:t>
            </w:r>
          </w:p>
        </w:tc>
        <w:tc>
          <w:tcPr>
            <w:tcW w:w="709" w:type="dxa"/>
            <w:shd w:val="clear" w:color="auto" w:fill="92D050"/>
          </w:tcPr>
          <w:p w14:paraId="0EFE8371" w14:textId="77777777" w:rsidR="009C214C" w:rsidRPr="00FF6059" w:rsidRDefault="009C214C" w:rsidP="00CE134E">
            <w:pPr>
              <w:tabs>
                <w:tab w:val="left" w:pos="885"/>
              </w:tabs>
              <w:spacing w:line="276" w:lineRule="auto"/>
              <w:jc w:val="both"/>
              <w:rPr>
                <w:rFonts w:ascii="Arial" w:hAnsi="Arial" w:cs="Arial"/>
              </w:rPr>
            </w:pPr>
          </w:p>
        </w:tc>
      </w:tr>
      <w:tr w:rsidR="009C214C" w14:paraId="20AB9EED" w14:textId="77777777">
        <w:tc>
          <w:tcPr>
            <w:tcW w:w="562" w:type="dxa"/>
          </w:tcPr>
          <w:p w14:paraId="451ADA9A" w14:textId="77777777" w:rsidR="009C214C" w:rsidRPr="00FF6059" w:rsidRDefault="009C214C" w:rsidP="00CE134E">
            <w:pPr>
              <w:spacing w:line="276" w:lineRule="auto"/>
              <w:jc w:val="both"/>
              <w:rPr>
                <w:rFonts w:ascii="Arial" w:hAnsi="Arial" w:cs="Arial"/>
              </w:rPr>
            </w:pPr>
            <w:r>
              <w:rPr>
                <w:rFonts w:ascii="Arial" w:hAnsi="Arial" w:cs="Arial"/>
              </w:rPr>
              <w:t>9</w:t>
            </w:r>
          </w:p>
        </w:tc>
        <w:tc>
          <w:tcPr>
            <w:tcW w:w="4253" w:type="dxa"/>
          </w:tcPr>
          <w:p w14:paraId="324122DC" w14:textId="77777777" w:rsidR="009C214C" w:rsidRPr="00FF6059" w:rsidRDefault="009C214C" w:rsidP="00CE134E">
            <w:pPr>
              <w:spacing w:line="276" w:lineRule="auto"/>
              <w:jc w:val="both"/>
              <w:rPr>
                <w:rFonts w:ascii="Arial" w:hAnsi="Arial" w:cs="Arial"/>
              </w:rPr>
            </w:pPr>
            <w:r w:rsidRPr="00FF6059">
              <w:rPr>
                <w:rFonts w:ascii="Arial" w:hAnsi="Arial" w:cs="Arial"/>
              </w:rPr>
              <w:t>Construction of Penwortham Bypass</w:t>
            </w:r>
          </w:p>
        </w:tc>
        <w:tc>
          <w:tcPr>
            <w:tcW w:w="2551" w:type="dxa"/>
          </w:tcPr>
          <w:p w14:paraId="07E30E65"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Complete</w:t>
            </w:r>
          </w:p>
        </w:tc>
        <w:tc>
          <w:tcPr>
            <w:tcW w:w="1134" w:type="dxa"/>
          </w:tcPr>
          <w:p w14:paraId="2CABDC35"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w:t>
            </w:r>
          </w:p>
        </w:tc>
        <w:tc>
          <w:tcPr>
            <w:tcW w:w="709" w:type="dxa"/>
            <w:shd w:val="clear" w:color="auto" w:fill="92D050"/>
          </w:tcPr>
          <w:p w14:paraId="582BBAD7" w14:textId="77777777" w:rsidR="009C214C" w:rsidRPr="00FF6059" w:rsidRDefault="009C214C" w:rsidP="00CE134E">
            <w:pPr>
              <w:tabs>
                <w:tab w:val="left" w:pos="885"/>
              </w:tabs>
              <w:spacing w:line="276" w:lineRule="auto"/>
              <w:jc w:val="both"/>
              <w:rPr>
                <w:rFonts w:ascii="Arial" w:hAnsi="Arial" w:cs="Arial"/>
              </w:rPr>
            </w:pPr>
          </w:p>
        </w:tc>
      </w:tr>
      <w:tr w:rsidR="009C214C" w14:paraId="26AF00F0" w14:textId="77777777">
        <w:trPr>
          <w:trHeight w:val="557"/>
        </w:trPr>
        <w:tc>
          <w:tcPr>
            <w:tcW w:w="562" w:type="dxa"/>
          </w:tcPr>
          <w:p w14:paraId="72FCB53F" w14:textId="77777777" w:rsidR="009C214C" w:rsidRPr="00FF6059" w:rsidRDefault="009C214C" w:rsidP="00CE134E">
            <w:pPr>
              <w:spacing w:line="276" w:lineRule="auto"/>
              <w:jc w:val="both"/>
              <w:rPr>
                <w:rFonts w:ascii="Arial" w:hAnsi="Arial" w:cs="Arial"/>
              </w:rPr>
            </w:pPr>
            <w:r>
              <w:rPr>
                <w:rFonts w:ascii="Arial" w:hAnsi="Arial" w:cs="Arial"/>
              </w:rPr>
              <w:t>10</w:t>
            </w:r>
          </w:p>
        </w:tc>
        <w:tc>
          <w:tcPr>
            <w:tcW w:w="4253" w:type="dxa"/>
          </w:tcPr>
          <w:p w14:paraId="63C23935" w14:textId="77777777" w:rsidR="009C214C" w:rsidRPr="00FF6059" w:rsidRDefault="009C214C" w:rsidP="00CE134E">
            <w:pPr>
              <w:spacing w:line="276" w:lineRule="auto"/>
              <w:jc w:val="both"/>
              <w:rPr>
                <w:rFonts w:ascii="Arial" w:hAnsi="Arial" w:cs="Arial"/>
              </w:rPr>
            </w:pPr>
            <w:r w:rsidRPr="00FF6059">
              <w:rPr>
                <w:rFonts w:ascii="Arial" w:hAnsi="Arial" w:cs="Arial"/>
              </w:rPr>
              <w:t>Widening of A582 South Ribble Western Distributor</w:t>
            </w:r>
          </w:p>
        </w:tc>
        <w:tc>
          <w:tcPr>
            <w:tcW w:w="2551" w:type="dxa"/>
          </w:tcPr>
          <w:p w14:paraId="2D1981E5" w14:textId="1AB30CFB" w:rsidR="009C214C" w:rsidRPr="00430CE9" w:rsidRDefault="009C214C" w:rsidP="00CE134E">
            <w:pPr>
              <w:tabs>
                <w:tab w:val="left" w:pos="885"/>
              </w:tabs>
              <w:spacing w:line="276" w:lineRule="auto"/>
              <w:jc w:val="both"/>
              <w:rPr>
                <w:rFonts w:ascii="Arial" w:hAnsi="Arial" w:cs="Arial"/>
              </w:rPr>
            </w:pPr>
            <w:r w:rsidRPr="00887293">
              <w:rPr>
                <w:rFonts w:ascii="Arial" w:hAnsi="Arial" w:cs="Arial"/>
              </w:rPr>
              <w:t xml:space="preserve">At </w:t>
            </w:r>
            <w:r w:rsidR="00887293" w:rsidRPr="00887293">
              <w:rPr>
                <w:rFonts w:ascii="Arial" w:hAnsi="Arial" w:cs="Arial"/>
              </w:rPr>
              <w:t xml:space="preserve">Outline Business Case </w:t>
            </w:r>
            <w:r w:rsidRPr="00887293">
              <w:rPr>
                <w:rFonts w:ascii="Arial" w:hAnsi="Arial" w:cs="Arial"/>
              </w:rPr>
              <w:t xml:space="preserve">stage. Junctions complete. Widening of phase 1 </w:t>
            </w:r>
            <w:r w:rsidR="008B30A7" w:rsidRPr="00887293">
              <w:rPr>
                <w:rFonts w:ascii="Arial" w:hAnsi="Arial" w:cs="Arial"/>
              </w:rPr>
              <w:t>–</w:t>
            </w:r>
            <w:r w:rsidRPr="00887293">
              <w:rPr>
                <w:rFonts w:ascii="Arial" w:hAnsi="Arial" w:cs="Arial"/>
              </w:rPr>
              <w:t xml:space="preserve"> Golden Way section complete.</w:t>
            </w:r>
            <w:r w:rsidRPr="00430CE9">
              <w:rPr>
                <w:rFonts w:ascii="Arial" w:hAnsi="Arial" w:cs="Arial"/>
              </w:rPr>
              <w:t xml:space="preserve">  </w:t>
            </w:r>
          </w:p>
        </w:tc>
        <w:tc>
          <w:tcPr>
            <w:tcW w:w="1134" w:type="dxa"/>
          </w:tcPr>
          <w:p w14:paraId="4698E749" w14:textId="77777777" w:rsidR="009C214C" w:rsidRPr="00FF6059" w:rsidRDefault="009C214C" w:rsidP="00CE134E">
            <w:pPr>
              <w:tabs>
                <w:tab w:val="left" w:pos="885"/>
              </w:tabs>
              <w:spacing w:line="276" w:lineRule="auto"/>
              <w:jc w:val="both"/>
              <w:rPr>
                <w:rFonts w:ascii="Arial" w:hAnsi="Arial" w:cs="Arial"/>
              </w:rPr>
            </w:pPr>
            <w:r w:rsidRPr="00FF6059">
              <w:rPr>
                <w:rFonts w:ascii="Arial" w:hAnsi="Arial" w:cs="Arial"/>
              </w:rPr>
              <w:t>-</w:t>
            </w:r>
          </w:p>
        </w:tc>
        <w:tc>
          <w:tcPr>
            <w:tcW w:w="709" w:type="dxa"/>
            <w:shd w:val="clear" w:color="auto" w:fill="FF0000"/>
          </w:tcPr>
          <w:p w14:paraId="72EDC517" w14:textId="77777777" w:rsidR="009C214C" w:rsidRPr="00FF6059" w:rsidRDefault="009C214C" w:rsidP="00CE134E">
            <w:pPr>
              <w:tabs>
                <w:tab w:val="left" w:pos="885"/>
              </w:tabs>
              <w:spacing w:line="276" w:lineRule="auto"/>
              <w:jc w:val="both"/>
              <w:rPr>
                <w:rFonts w:ascii="Arial" w:hAnsi="Arial" w:cs="Arial"/>
              </w:rPr>
            </w:pPr>
          </w:p>
        </w:tc>
      </w:tr>
    </w:tbl>
    <w:p w14:paraId="6978BBA5" w14:textId="1F55C774" w:rsidR="008B30A7" w:rsidRDefault="008B30A7" w:rsidP="00CE134E">
      <w:pPr>
        <w:spacing w:after="0" w:line="240" w:lineRule="auto"/>
        <w:jc w:val="both"/>
        <w:rPr>
          <w:rFonts w:ascii="Arial" w:hAnsi="Arial" w:cs="Arial"/>
          <w:sz w:val="24"/>
          <w:szCs w:val="24"/>
        </w:rPr>
      </w:pPr>
    </w:p>
    <w:p w14:paraId="0335746C" w14:textId="35802DA7" w:rsidR="00D13626" w:rsidRPr="00D13626" w:rsidRDefault="00D13626" w:rsidP="00D13626">
      <w:pPr>
        <w:spacing w:after="0" w:line="240" w:lineRule="auto"/>
        <w:jc w:val="both"/>
        <w:rPr>
          <w:rFonts w:ascii="Arial" w:hAnsi="Arial" w:cs="Arial"/>
          <w:b/>
          <w:sz w:val="24"/>
          <w:szCs w:val="24"/>
        </w:rPr>
      </w:pPr>
      <w:r w:rsidRPr="00D13626">
        <w:rPr>
          <w:rFonts w:ascii="Arial" w:hAnsi="Arial" w:cs="Arial"/>
          <w:b/>
          <w:sz w:val="24"/>
          <w:szCs w:val="24"/>
        </w:rPr>
        <w:t>v. Employment and Skills Monitoring Report (Appendix F)</w:t>
      </w:r>
    </w:p>
    <w:p w14:paraId="38D15F58" w14:textId="3DA3B810" w:rsidR="00D13626" w:rsidRDefault="00D13626" w:rsidP="00CE134E">
      <w:pPr>
        <w:spacing w:after="0" w:line="240" w:lineRule="auto"/>
        <w:jc w:val="both"/>
        <w:rPr>
          <w:rFonts w:ascii="Arial" w:hAnsi="Arial" w:cs="Arial"/>
          <w:sz w:val="24"/>
          <w:szCs w:val="24"/>
        </w:rPr>
      </w:pPr>
    </w:p>
    <w:p w14:paraId="34035429" w14:textId="4FB74E3F" w:rsidR="00D13626" w:rsidRDefault="00D13626" w:rsidP="00D13626">
      <w:pPr>
        <w:spacing w:after="0" w:line="240" w:lineRule="auto"/>
        <w:jc w:val="both"/>
        <w:rPr>
          <w:rFonts w:ascii="Arial" w:hAnsi="Arial" w:cs="Arial"/>
          <w:sz w:val="24"/>
          <w:szCs w:val="24"/>
        </w:rPr>
      </w:pPr>
      <w:r>
        <w:rPr>
          <w:rFonts w:ascii="Arial" w:hAnsi="Arial" w:cs="Arial"/>
          <w:sz w:val="24"/>
          <w:szCs w:val="24"/>
        </w:rPr>
        <w:t>Attached at appendix F is the latest</w:t>
      </w:r>
      <w:r w:rsidRPr="00414CBB">
        <w:rPr>
          <w:rFonts w:ascii="Arial" w:hAnsi="Arial" w:cs="Arial"/>
          <w:sz w:val="24"/>
          <w:szCs w:val="24"/>
        </w:rPr>
        <w:t xml:space="preserve"> Employment and Skills Monitoring Report </w:t>
      </w:r>
      <w:r>
        <w:rPr>
          <w:rFonts w:ascii="Arial" w:hAnsi="Arial" w:cs="Arial"/>
          <w:sz w:val="24"/>
          <w:szCs w:val="24"/>
        </w:rPr>
        <w:t xml:space="preserve">which </w:t>
      </w:r>
      <w:r w:rsidRPr="00414CBB">
        <w:rPr>
          <w:rFonts w:ascii="Arial" w:hAnsi="Arial" w:cs="Arial"/>
          <w:sz w:val="24"/>
          <w:szCs w:val="24"/>
        </w:rPr>
        <w:t>covers a range</w:t>
      </w:r>
      <w:r>
        <w:rPr>
          <w:rFonts w:ascii="Arial" w:hAnsi="Arial" w:cs="Arial"/>
          <w:sz w:val="24"/>
          <w:szCs w:val="24"/>
        </w:rPr>
        <w:t xml:space="preserve"> of</w:t>
      </w:r>
      <w:r w:rsidRPr="00414CBB">
        <w:rPr>
          <w:rFonts w:ascii="Arial" w:hAnsi="Arial" w:cs="Arial"/>
          <w:sz w:val="24"/>
          <w:szCs w:val="24"/>
        </w:rPr>
        <w:t xml:space="preserve"> City Deal employment and skills metrics. The metrics </w:t>
      </w:r>
      <w:r>
        <w:rPr>
          <w:rFonts w:ascii="Arial" w:hAnsi="Arial" w:cs="Arial"/>
          <w:sz w:val="24"/>
          <w:szCs w:val="24"/>
        </w:rPr>
        <w:t xml:space="preserve">that are included were set at the start of the city deal programme in 2014 and </w:t>
      </w:r>
      <w:r w:rsidRPr="00414CBB">
        <w:rPr>
          <w:rFonts w:ascii="Arial" w:hAnsi="Arial" w:cs="Arial"/>
          <w:sz w:val="24"/>
          <w:szCs w:val="24"/>
        </w:rPr>
        <w:t>provide indicative measures for the wider impact of the City Deal investment in the Central Lancashire area</w:t>
      </w:r>
      <w:r>
        <w:rPr>
          <w:rFonts w:ascii="Arial" w:hAnsi="Arial" w:cs="Arial"/>
          <w:sz w:val="24"/>
          <w:szCs w:val="24"/>
        </w:rPr>
        <w:t>,</w:t>
      </w:r>
      <w:r w:rsidRPr="00414CBB">
        <w:rPr>
          <w:rFonts w:ascii="Arial" w:hAnsi="Arial" w:cs="Arial"/>
          <w:sz w:val="24"/>
          <w:szCs w:val="24"/>
        </w:rPr>
        <w:t xml:space="preserve"> utilising data from a range of sources including </w:t>
      </w:r>
      <w:r w:rsidRPr="000742D1">
        <w:rPr>
          <w:rFonts w:ascii="Arial" w:hAnsi="Arial" w:cs="Arial"/>
          <w:sz w:val="24"/>
          <w:szCs w:val="24"/>
        </w:rPr>
        <w:t>National Online Manpower Information System</w:t>
      </w:r>
      <w:r>
        <w:rPr>
          <w:rFonts w:ascii="Arial" w:hAnsi="Arial" w:cs="Arial"/>
          <w:sz w:val="24"/>
          <w:szCs w:val="24"/>
        </w:rPr>
        <w:t xml:space="preserve"> (</w:t>
      </w:r>
      <w:r w:rsidRPr="00414CBB">
        <w:rPr>
          <w:rFonts w:ascii="Arial" w:hAnsi="Arial" w:cs="Arial"/>
          <w:sz w:val="24"/>
          <w:szCs w:val="24"/>
        </w:rPr>
        <w:t>N</w:t>
      </w:r>
      <w:r>
        <w:rPr>
          <w:rFonts w:ascii="Arial" w:hAnsi="Arial" w:cs="Arial"/>
          <w:sz w:val="24"/>
          <w:szCs w:val="24"/>
        </w:rPr>
        <w:t>OMIS)</w:t>
      </w:r>
      <w:r w:rsidRPr="00414CBB">
        <w:rPr>
          <w:rFonts w:ascii="Arial" w:hAnsi="Arial" w:cs="Arial"/>
          <w:sz w:val="24"/>
          <w:szCs w:val="24"/>
        </w:rPr>
        <w:t xml:space="preserve">, </w:t>
      </w:r>
      <w:r w:rsidRPr="000742D1">
        <w:rPr>
          <w:rFonts w:ascii="Arial" w:hAnsi="Arial" w:cs="Arial"/>
          <w:sz w:val="24"/>
          <w:szCs w:val="24"/>
        </w:rPr>
        <w:t>Higher Education Statistics Agency</w:t>
      </w:r>
      <w:r>
        <w:rPr>
          <w:rFonts w:ascii="Arial" w:hAnsi="Arial" w:cs="Arial"/>
          <w:sz w:val="24"/>
          <w:szCs w:val="24"/>
        </w:rPr>
        <w:t xml:space="preserve"> (</w:t>
      </w:r>
      <w:r w:rsidRPr="00414CBB">
        <w:rPr>
          <w:rFonts w:ascii="Arial" w:hAnsi="Arial" w:cs="Arial"/>
          <w:sz w:val="24"/>
          <w:szCs w:val="24"/>
        </w:rPr>
        <w:t>HESA</w:t>
      </w:r>
      <w:r>
        <w:rPr>
          <w:rFonts w:ascii="Arial" w:hAnsi="Arial" w:cs="Arial"/>
          <w:sz w:val="24"/>
          <w:szCs w:val="24"/>
        </w:rPr>
        <w:t>)</w:t>
      </w:r>
      <w:r w:rsidRPr="00414CBB">
        <w:rPr>
          <w:rFonts w:ascii="Arial" w:hAnsi="Arial" w:cs="Arial"/>
          <w:sz w:val="24"/>
          <w:szCs w:val="24"/>
        </w:rPr>
        <w:t xml:space="preserve"> and </w:t>
      </w:r>
      <w:r>
        <w:rPr>
          <w:rFonts w:ascii="Arial" w:hAnsi="Arial" w:cs="Arial"/>
          <w:sz w:val="24"/>
          <w:szCs w:val="24"/>
        </w:rPr>
        <w:t xml:space="preserve">Education &amp; </w:t>
      </w:r>
      <w:r w:rsidRPr="00414CBB">
        <w:rPr>
          <w:rFonts w:ascii="Arial" w:hAnsi="Arial" w:cs="Arial"/>
          <w:sz w:val="24"/>
          <w:szCs w:val="24"/>
        </w:rPr>
        <w:t>S</w:t>
      </w:r>
      <w:r>
        <w:rPr>
          <w:rFonts w:ascii="Arial" w:hAnsi="Arial" w:cs="Arial"/>
          <w:sz w:val="24"/>
          <w:szCs w:val="24"/>
        </w:rPr>
        <w:t xml:space="preserve">kills </w:t>
      </w:r>
      <w:r w:rsidRPr="00414CBB">
        <w:rPr>
          <w:rFonts w:ascii="Arial" w:hAnsi="Arial" w:cs="Arial"/>
          <w:sz w:val="24"/>
          <w:szCs w:val="24"/>
        </w:rPr>
        <w:t>F</w:t>
      </w:r>
      <w:r>
        <w:rPr>
          <w:rFonts w:ascii="Arial" w:hAnsi="Arial" w:cs="Arial"/>
          <w:sz w:val="24"/>
          <w:szCs w:val="24"/>
        </w:rPr>
        <w:t>unding Agency (ESFA).</w:t>
      </w:r>
    </w:p>
    <w:p w14:paraId="7EC06AE7" w14:textId="77777777" w:rsidR="00D13626" w:rsidRDefault="00D13626" w:rsidP="00D13626">
      <w:pPr>
        <w:spacing w:after="0" w:line="240" w:lineRule="auto"/>
        <w:rPr>
          <w:rFonts w:ascii="Arial" w:hAnsi="Arial" w:cs="Arial"/>
          <w:sz w:val="24"/>
          <w:szCs w:val="24"/>
        </w:rPr>
      </w:pPr>
    </w:p>
    <w:p w14:paraId="17BF5D73" w14:textId="77777777" w:rsidR="00D13626" w:rsidRDefault="00D13626" w:rsidP="00D13626">
      <w:pPr>
        <w:pStyle w:val="NoSpacing"/>
        <w:jc w:val="both"/>
        <w:rPr>
          <w:rFonts w:cs="Arial"/>
          <w:szCs w:val="24"/>
        </w:rPr>
      </w:pPr>
      <w:r>
        <w:rPr>
          <w:rFonts w:cs="Arial"/>
          <w:szCs w:val="24"/>
        </w:rPr>
        <w:lastRenderedPageBreak/>
        <w:t xml:space="preserve">The data in the series highlights several positive outcomes that have taken place through the City Deal Programme period. For example, growth in numbers of young people accessing Construction Apprenticeships locally has been achieved against a downwards market trend. In addition, the 263% increase in numbers of </w:t>
      </w:r>
      <w:proofErr w:type="spellStart"/>
      <w:r>
        <w:rPr>
          <w:rFonts w:cs="Arial"/>
          <w:szCs w:val="24"/>
        </w:rPr>
        <w:t>UCLan</w:t>
      </w:r>
      <w:proofErr w:type="spellEnd"/>
      <w:r>
        <w:rPr>
          <w:rFonts w:cs="Arial"/>
          <w:szCs w:val="24"/>
        </w:rPr>
        <w:t xml:space="preserve"> students choosing STEM or Construction degrees represents positive progress. The growth in Careers IAG for young people is also significant, with employers engaged in inspiring young people about jobs in construction, including tackling stereotypes and encouraging greater gender diversity. The accompanying Social Value report is complementary – with many social value outputs and outcomes contributing to the growth in, for example, apprenticeships, internships and careers IAG activities. These are examples that demonstrate several positive aspects of how the labour market has been impacted during the City Deal Programme.</w:t>
      </w:r>
    </w:p>
    <w:p w14:paraId="2370B688" w14:textId="77777777" w:rsidR="00D13626" w:rsidRDefault="00D13626" w:rsidP="00D13626">
      <w:pPr>
        <w:pStyle w:val="NoSpacing"/>
        <w:ind w:left="360"/>
        <w:jc w:val="both"/>
        <w:rPr>
          <w:rFonts w:cs="Arial"/>
          <w:szCs w:val="24"/>
        </w:rPr>
      </w:pPr>
    </w:p>
    <w:p w14:paraId="36174A43" w14:textId="583E5044" w:rsidR="00D13626" w:rsidRDefault="008E26C7" w:rsidP="008E26C7">
      <w:pPr>
        <w:pStyle w:val="NoSpacing"/>
        <w:jc w:val="both"/>
        <w:rPr>
          <w:rFonts w:cs="Arial"/>
          <w:szCs w:val="24"/>
        </w:rPr>
      </w:pPr>
      <w:r>
        <w:rPr>
          <w:rFonts w:cs="Arial"/>
          <w:szCs w:val="24"/>
        </w:rPr>
        <w:t xml:space="preserve">The report advises that </w:t>
      </w:r>
      <w:r w:rsidR="00D13626">
        <w:rPr>
          <w:rFonts w:cs="Arial"/>
          <w:szCs w:val="24"/>
        </w:rPr>
        <w:t xml:space="preserve">data sources for most of the measures are no longer available. Therefore, it is proposed, with agreement from the Board, that this represents the final report on these measures. </w:t>
      </w:r>
    </w:p>
    <w:p w14:paraId="1D398018" w14:textId="41F3D81C" w:rsidR="00584AC5" w:rsidRDefault="00584AC5" w:rsidP="00584AC5">
      <w:pPr>
        <w:pStyle w:val="NoSpacing"/>
        <w:jc w:val="both"/>
        <w:rPr>
          <w:rFonts w:cs="Arial"/>
          <w:szCs w:val="24"/>
        </w:rPr>
      </w:pPr>
    </w:p>
    <w:p w14:paraId="21F5ECD5" w14:textId="77777777" w:rsidR="003C25D0" w:rsidRPr="0022408A" w:rsidRDefault="007712C2" w:rsidP="00CE134E">
      <w:pPr>
        <w:keepNext/>
        <w:keepLines/>
        <w:spacing w:before="40" w:after="0" w:line="249" w:lineRule="auto"/>
        <w:ind w:left="542" w:hanging="542"/>
        <w:jc w:val="both"/>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728B5CCD" w14:textId="77777777" w:rsidR="003C25D0" w:rsidRPr="0022408A" w:rsidRDefault="003C25D0" w:rsidP="00CE134E">
      <w:pPr>
        <w:spacing w:after="5" w:line="249" w:lineRule="auto"/>
        <w:ind w:left="542" w:hanging="542"/>
        <w:jc w:val="both"/>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0F78D0" w14:paraId="32DD783C" w14:textId="77777777">
        <w:tc>
          <w:tcPr>
            <w:tcW w:w="3510" w:type="dxa"/>
          </w:tcPr>
          <w:p w14:paraId="677411DE" w14:textId="77777777" w:rsidR="003C25D0" w:rsidRPr="0022408A" w:rsidRDefault="007712C2" w:rsidP="00CE134E">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6ADE52FA" w14:textId="77777777" w:rsidR="003C25D0" w:rsidRPr="0022408A" w:rsidRDefault="007712C2" w:rsidP="00CE134E">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6E223F26" w14:textId="77777777" w:rsidR="003C25D0" w:rsidRPr="0022408A" w:rsidRDefault="007712C2" w:rsidP="00CE134E">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0F78D0" w14:paraId="5E70DD71" w14:textId="77777777">
        <w:tc>
          <w:tcPr>
            <w:tcW w:w="3510" w:type="dxa"/>
          </w:tcPr>
          <w:p w14:paraId="755A7122" w14:textId="77777777" w:rsidR="003C25D0" w:rsidRPr="0022408A" w:rsidRDefault="003C25D0" w:rsidP="00CE134E">
            <w:pPr>
              <w:spacing w:after="5" w:line="249" w:lineRule="auto"/>
              <w:ind w:left="542" w:hanging="542"/>
              <w:jc w:val="both"/>
              <w:rPr>
                <w:rFonts w:ascii="Arial" w:eastAsia="Calibri" w:hAnsi="Arial" w:cs="Arial"/>
                <w:sz w:val="24"/>
                <w:szCs w:val="24"/>
                <w:lang w:eastAsia="en-GB"/>
              </w:rPr>
            </w:pPr>
          </w:p>
          <w:p w14:paraId="29B30F4D" w14:textId="77777777" w:rsidR="003C25D0" w:rsidRPr="0022408A" w:rsidRDefault="007712C2" w:rsidP="00CE134E">
            <w:pPr>
              <w:spacing w:after="5" w:line="249" w:lineRule="auto"/>
              <w:ind w:left="542" w:hanging="542"/>
              <w:jc w:val="both"/>
              <w:rPr>
                <w:rFonts w:ascii="Arial" w:eastAsia="Calibri" w:hAnsi="Arial" w:cs="Arial"/>
                <w:sz w:val="24"/>
                <w:szCs w:val="24"/>
                <w:lang w:eastAsia="en-GB"/>
              </w:rPr>
            </w:pPr>
            <w:r>
              <w:rPr>
                <w:rFonts w:ascii="Arial" w:eastAsia="Calibri" w:hAnsi="Arial" w:cs="Arial"/>
                <w:sz w:val="24"/>
                <w:szCs w:val="24"/>
                <w:lang w:eastAsia="en-GB"/>
              </w:rPr>
              <w:t>None</w:t>
            </w:r>
          </w:p>
          <w:p w14:paraId="555ED0D1" w14:textId="77777777" w:rsidR="003C25D0" w:rsidRPr="0022408A" w:rsidRDefault="003C25D0" w:rsidP="00CE134E">
            <w:pPr>
              <w:spacing w:after="5" w:line="249" w:lineRule="auto"/>
              <w:ind w:left="542" w:hanging="542"/>
              <w:jc w:val="both"/>
              <w:rPr>
                <w:rFonts w:ascii="Arial" w:eastAsia="Calibri" w:hAnsi="Arial" w:cs="Arial"/>
                <w:sz w:val="24"/>
                <w:szCs w:val="24"/>
                <w:lang w:eastAsia="en-GB"/>
              </w:rPr>
            </w:pPr>
          </w:p>
        </w:tc>
        <w:tc>
          <w:tcPr>
            <w:tcW w:w="2492" w:type="dxa"/>
          </w:tcPr>
          <w:p w14:paraId="317DC595" w14:textId="77777777" w:rsidR="003C25D0" w:rsidRPr="0022408A" w:rsidRDefault="003C25D0" w:rsidP="00CE134E">
            <w:pPr>
              <w:spacing w:after="5" w:line="249" w:lineRule="auto"/>
              <w:ind w:left="542" w:hanging="542"/>
              <w:jc w:val="both"/>
              <w:rPr>
                <w:rFonts w:ascii="Arial" w:eastAsia="Calibri" w:hAnsi="Arial" w:cs="Arial"/>
                <w:sz w:val="24"/>
                <w:szCs w:val="24"/>
                <w:lang w:eastAsia="en-GB"/>
              </w:rPr>
            </w:pPr>
          </w:p>
        </w:tc>
        <w:tc>
          <w:tcPr>
            <w:tcW w:w="3178" w:type="dxa"/>
          </w:tcPr>
          <w:p w14:paraId="4111AEEF" w14:textId="77777777" w:rsidR="003C25D0" w:rsidRPr="0022408A" w:rsidRDefault="003C25D0" w:rsidP="00CE134E">
            <w:pPr>
              <w:spacing w:after="5" w:line="249" w:lineRule="auto"/>
              <w:ind w:left="542" w:hanging="542"/>
              <w:jc w:val="both"/>
              <w:rPr>
                <w:rFonts w:ascii="Arial" w:eastAsia="Calibri" w:hAnsi="Arial" w:cs="Arial"/>
                <w:sz w:val="24"/>
                <w:szCs w:val="24"/>
                <w:lang w:eastAsia="en-GB"/>
              </w:rPr>
            </w:pPr>
          </w:p>
        </w:tc>
      </w:tr>
      <w:tr w:rsidR="000F78D0" w14:paraId="1F38D235" w14:textId="77777777">
        <w:trPr>
          <w:cantSplit/>
        </w:trPr>
        <w:tc>
          <w:tcPr>
            <w:tcW w:w="9180" w:type="dxa"/>
            <w:gridSpan w:val="3"/>
          </w:tcPr>
          <w:p w14:paraId="2AEC10FE" w14:textId="77777777" w:rsidR="003C25D0" w:rsidRPr="0022408A" w:rsidRDefault="003C25D0" w:rsidP="00CE134E">
            <w:pPr>
              <w:spacing w:after="5" w:line="249" w:lineRule="auto"/>
              <w:ind w:left="542" w:hanging="542"/>
              <w:jc w:val="both"/>
              <w:rPr>
                <w:rFonts w:ascii="Arial" w:eastAsia="Calibri" w:hAnsi="Arial" w:cs="Arial"/>
                <w:color w:val="000000"/>
                <w:sz w:val="24"/>
                <w:szCs w:val="24"/>
                <w:lang w:eastAsia="en-GB"/>
              </w:rPr>
            </w:pPr>
          </w:p>
          <w:p w14:paraId="3D54AB0D" w14:textId="77777777" w:rsidR="003C25D0" w:rsidRPr="0022408A" w:rsidRDefault="007712C2" w:rsidP="00CE134E">
            <w:pPr>
              <w:spacing w:after="5" w:line="249" w:lineRule="auto"/>
              <w:ind w:left="542" w:hanging="542"/>
              <w:jc w:val="both"/>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7432F633" w14:textId="77777777" w:rsidR="003C25D0" w:rsidRPr="0022408A" w:rsidRDefault="003C25D0" w:rsidP="00CE134E">
            <w:pPr>
              <w:spacing w:after="5" w:line="249" w:lineRule="auto"/>
              <w:ind w:left="542" w:hanging="542"/>
              <w:jc w:val="both"/>
              <w:rPr>
                <w:rFonts w:ascii="Arial" w:eastAsia="Calibri" w:hAnsi="Arial" w:cs="Arial"/>
                <w:color w:val="000000"/>
                <w:sz w:val="24"/>
                <w:szCs w:val="24"/>
                <w:lang w:eastAsia="en-GB"/>
              </w:rPr>
            </w:pPr>
          </w:p>
          <w:p w14:paraId="621BF29E" w14:textId="77777777" w:rsidR="003C25D0" w:rsidRPr="0022408A" w:rsidRDefault="007712C2" w:rsidP="00CE134E">
            <w:pPr>
              <w:spacing w:after="5" w:line="249" w:lineRule="auto"/>
              <w:ind w:left="542" w:hanging="542"/>
              <w:jc w:val="both"/>
              <w:rPr>
                <w:rFonts w:ascii="Arial" w:eastAsia="Calibri" w:hAnsi="Arial" w:cs="Arial"/>
                <w:sz w:val="24"/>
                <w:szCs w:val="24"/>
                <w:lang w:eastAsia="en-GB"/>
              </w:rPr>
            </w:pPr>
            <w:r>
              <w:rPr>
                <w:rFonts w:ascii="Arial" w:eastAsia="Calibri" w:hAnsi="Arial" w:cs="Arial"/>
                <w:sz w:val="24"/>
                <w:szCs w:val="24"/>
                <w:lang w:eastAsia="en-GB"/>
              </w:rPr>
              <w:t>N/A</w:t>
            </w:r>
          </w:p>
          <w:p w14:paraId="65378D69" w14:textId="77777777" w:rsidR="003C25D0" w:rsidRPr="0022408A" w:rsidRDefault="003C25D0" w:rsidP="00CE134E">
            <w:pPr>
              <w:spacing w:after="5" w:line="249" w:lineRule="auto"/>
              <w:ind w:left="542" w:hanging="542"/>
              <w:jc w:val="both"/>
              <w:rPr>
                <w:rFonts w:ascii="Arial" w:eastAsia="Calibri" w:hAnsi="Arial" w:cs="Arial"/>
                <w:color w:val="000000"/>
                <w:sz w:val="24"/>
                <w:szCs w:val="24"/>
                <w:lang w:eastAsia="en-GB"/>
              </w:rPr>
            </w:pPr>
          </w:p>
        </w:tc>
      </w:tr>
    </w:tbl>
    <w:p w14:paraId="61E505A8" w14:textId="77777777" w:rsidR="003C25D0" w:rsidRPr="009D435E" w:rsidRDefault="003C25D0" w:rsidP="00CE134E">
      <w:pPr>
        <w:pStyle w:val="NoSpacing"/>
        <w:jc w:val="both"/>
        <w:rPr>
          <w:rFonts w:cs="Arial"/>
          <w:szCs w:val="24"/>
        </w:rPr>
      </w:pPr>
    </w:p>
    <w:sectPr w:rsidR="003C25D0" w:rsidRPr="009D435E">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E76D" w14:textId="77777777" w:rsidR="006C7483" w:rsidRDefault="006C7483">
      <w:pPr>
        <w:spacing w:after="0" w:line="240" w:lineRule="auto"/>
      </w:pPr>
      <w:r>
        <w:separator/>
      </w:r>
    </w:p>
  </w:endnote>
  <w:endnote w:type="continuationSeparator" w:id="0">
    <w:p w14:paraId="631AE2CE" w14:textId="77777777" w:rsidR="006C7483" w:rsidRDefault="006C7483">
      <w:pPr>
        <w:spacing w:after="0" w:line="240" w:lineRule="auto"/>
      </w:pPr>
      <w:r>
        <w:continuationSeparator/>
      </w:r>
    </w:p>
  </w:endnote>
  <w:endnote w:type="continuationNotice" w:id="1">
    <w:p w14:paraId="41B22177" w14:textId="77777777" w:rsidR="006C7483" w:rsidRDefault="006C7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3876" w14:textId="77777777" w:rsidR="003C25D0" w:rsidRDefault="003C25D0">
    <w:pPr>
      <w:pStyle w:val="Footer"/>
    </w:pPr>
    <w:bookmarkStart w:id="0" w:name="aliashAdvancedFooterprot1FooterEvenPages"/>
  </w:p>
  <w:bookmarkEnd w:id="0"/>
  <w:p w14:paraId="5BF1EC8B" w14:textId="77777777" w:rsidR="003C25D0" w:rsidRDefault="003C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F6B6" w14:textId="77777777" w:rsidR="003C25D0" w:rsidRDefault="003C25D0">
    <w:pPr>
      <w:pStyle w:val="Footer"/>
    </w:pPr>
    <w:bookmarkStart w:id="1" w:name="aliashAdvancedFooterprotec1FooterPrimary"/>
  </w:p>
  <w:bookmarkEnd w:id="1"/>
  <w:p w14:paraId="53BC873F" w14:textId="77777777" w:rsidR="003C25D0" w:rsidRDefault="003C2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9DAD" w14:textId="77777777" w:rsidR="003C25D0" w:rsidRDefault="003C25D0">
    <w:pPr>
      <w:pStyle w:val="Footer"/>
    </w:pPr>
    <w:bookmarkStart w:id="2" w:name="aliashAdvancedFooterprot1FooterFirstPage"/>
  </w:p>
  <w:bookmarkEnd w:id="2"/>
  <w:p w14:paraId="2128F288" w14:textId="77777777" w:rsidR="003C25D0" w:rsidRDefault="003C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4CD1" w14:textId="77777777" w:rsidR="006C7483" w:rsidRDefault="006C7483">
      <w:pPr>
        <w:spacing w:after="0" w:line="240" w:lineRule="auto"/>
      </w:pPr>
      <w:r>
        <w:separator/>
      </w:r>
    </w:p>
  </w:footnote>
  <w:footnote w:type="continuationSeparator" w:id="0">
    <w:p w14:paraId="357F6D4B" w14:textId="77777777" w:rsidR="006C7483" w:rsidRDefault="006C7483">
      <w:pPr>
        <w:spacing w:after="0" w:line="240" w:lineRule="auto"/>
      </w:pPr>
      <w:r>
        <w:continuationSeparator/>
      </w:r>
    </w:p>
  </w:footnote>
  <w:footnote w:type="continuationNotice" w:id="1">
    <w:p w14:paraId="6C9ADADA" w14:textId="77777777" w:rsidR="006C7483" w:rsidRDefault="006C7483">
      <w:pPr>
        <w:spacing w:after="0" w:line="240" w:lineRule="auto"/>
      </w:pPr>
    </w:p>
  </w:footnote>
  <w:footnote w:id="2">
    <w:p w14:paraId="22C3BB26" w14:textId="77777777" w:rsidR="009C214C" w:rsidRPr="00752AA8" w:rsidRDefault="009C214C" w:rsidP="009C214C">
      <w:pPr>
        <w:pStyle w:val="FootnoteText"/>
      </w:pPr>
      <w:r w:rsidRPr="00752AA8">
        <w:rPr>
          <w:rStyle w:val="FootnoteReference"/>
        </w:rPr>
        <w:footnoteRef/>
      </w:r>
      <w:r w:rsidRPr="00752AA8">
        <w:t xml:space="preserve"> Includes all sites (not restricted to sites on the CD Schedule) and both outline and full planning permissions.</w:t>
      </w:r>
    </w:p>
  </w:footnote>
  <w:footnote w:id="3">
    <w:p w14:paraId="040806C1" w14:textId="4CCA24C0" w:rsidR="001426B6" w:rsidRDefault="001426B6">
      <w:pPr>
        <w:pStyle w:val="FootnoteText"/>
      </w:pPr>
      <w:r>
        <w:rPr>
          <w:rStyle w:val="FootnoteReference"/>
        </w:rPr>
        <w:footnoteRef/>
      </w:r>
      <w:r>
        <w:t xml:space="preserve"> Including </w:t>
      </w:r>
      <w:r w:rsidR="00E702DD">
        <w:t>1</w:t>
      </w:r>
      <w:r w:rsidR="00747597">
        <w:t>8</w:t>
      </w:r>
      <w:r w:rsidR="00E702DD">
        <w:t>,</w:t>
      </w:r>
      <w:r w:rsidR="00747597">
        <w:t xml:space="preserve">014 </w:t>
      </w:r>
      <w:r>
        <w:t>jobs associated with new sales and lettings at existing premises.</w:t>
      </w:r>
      <w:r w:rsidR="00E702DD">
        <w:t xml:space="preserve"> The RAG rating reflects the fact that the original agreement was to create 20,000 net new private sector jobs.</w:t>
      </w:r>
    </w:p>
  </w:footnote>
  <w:footnote w:id="4">
    <w:p w14:paraId="2FA670DA" w14:textId="4ADD97A1" w:rsidR="00D56CDA" w:rsidRDefault="00D56CDA">
      <w:pPr>
        <w:pStyle w:val="FootnoteText"/>
      </w:pPr>
      <w:r>
        <w:rPr>
          <w:rStyle w:val="FootnoteReference"/>
        </w:rPr>
        <w:footnoteRef/>
      </w:r>
      <w:r>
        <w:t xml:space="preserve"> </w:t>
      </w:r>
      <w:r w:rsidRPr="000275BF">
        <w:t xml:space="preserve">This figure is less than reported at the 6-month interval due to the </w:t>
      </w:r>
      <w:r w:rsidR="00D54880">
        <w:t>repayment of HCA Loans</w:t>
      </w:r>
      <w:r w:rsidRPr="000275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5776" w14:textId="77777777" w:rsidR="003C25D0" w:rsidRDefault="007712C2">
    <w:pPr>
      <w:pStyle w:val="Header"/>
    </w:pPr>
    <w:r w:rsidRPr="00DA16C4">
      <w:rPr>
        <w:noProof/>
        <w:lang w:eastAsia="en-GB"/>
      </w:rPr>
      <w:drawing>
        <wp:inline distT="0" distB="0" distL="0" distR="0" wp14:anchorId="085974C3" wp14:editId="6AE10E37">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597529"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E1"/>
    <w:multiLevelType w:val="multilevel"/>
    <w:tmpl w:val="ADA03FDC"/>
    <w:lvl w:ilvl="0">
      <w:start w:val="2"/>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 w15:restartNumberingAfterBreak="0">
    <w:nsid w:val="06FA4C3D"/>
    <w:multiLevelType w:val="hybridMultilevel"/>
    <w:tmpl w:val="F63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B64"/>
    <w:multiLevelType w:val="hybridMultilevel"/>
    <w:tmpl w:val="C31CC5EA"/>
    <w:lvl w:ilvl="0" w:tplc="103C0FF8">
      <w:start w:val="1"/>
      <w:numFmt w:val="bullet"/>
      <w:lvlText w:val=""/>
      <w:lvlJc w:val="left"/>
      <w:pPr>
        <w:ind w:left="720" w:hanging="360"/>
      </w:pPr>
      <w:rPr>
        <w:rFonts w:ascii="Symbol" w:hAnsi="Symbol" w:hint="default"/>
      </w:rPr>
    </w:lvl>
    <w:lvl w:ilvl="1" w:tplc="0CB83868" w:tentative="1">
      <w:start w:val="1"/>
      <w:numFmt w:val="bullet"/>
      <w:lvlText w:val="o"/>
      <w:lvlJc w:val="left"/>
      <w:pPr>
        <w:ind w:left="1440" w:hanging="360"/>
      </w:pPr>
      <w:rPr>
        <w:rFonts w:ascii="Courier New" w:hAnsi="Courier New" w:cs="Courier New" w:hint="default"/>
      </w:rPr>
    </w:lvl>
    <w:lvl w:ilvl="2" w:tplc="6E2CFB72" w:tentative="1">
      <w:start w:val="1"/>
      <w:numFmt w:val="bullet"/>
      <w:lvlText w:val=""/>
      <w:lvlJc w:val="left"/>
      <w:pPr>
        <w:ind w:left="2160" w:hanging="360"/>
      </w:pPr>
      <w:rPr>
        <w:rFonts w:ascii="Wingdings" w:hAnsi="Wingdings" w:hint="default"/>
      </w:rPr>
    </w:lvl>
    <w:lvl w:ilvl="3" w:tplc="DE3AFDB4" w:tentative="1">
      <w:start w:val="1"/>
      <w:numFmt w:val="bullet"/>
      <w:lvlText w:val=""/>
      <w:lvlJc w:val="left"/>
      <w:pPr>
        <w:ind w:left="2880" w:hanging="360"/>
      </w:pPr>
      <w:rPr>
        <w:rFonts w:ascii="Symbol" w:hAnsi="Symbol" w:hint="default"/>
      </w:rPr>
    </w:lvl>
    <w:lvl w:ilvl="4" w:tplc="7E6C7E76" w:tentative="1">
      <w:start w:val="1"/>
      <w:numFmt w:val="bullet"/>
      <w:lvlText w:val="o"/>
      <w:lvlJc w:val="left"/>
      <w:pPr>
        <w:ind w:left="3600" w:hanging="360"/>
      </w:pPr>
      <w:rPr>
        <w:rFonts w:ascii="Courier New" w:hAnsi="Courier New" w:cs="Courier New" w:hint="default"/>
      </w:rPr>
    </w:lvl>
    <w:lvl w:ilvl="5" w:tplc="05AACC38" w:tentative="1">
      <w:start w:val="1"/>
      <w:numFmt w:val="bullet"/>
      <w:lvlText w:val=""/>
      <w:lvlJc w:val="left"/>
      <w:pPr>
        <w:ind w:left="4320" w:hanging="360"/>
      </w:pPr>
      <w:rPr>
        <w:rFonts w:ascii="Wingdings" w:hAnsi="Wingdings" w:hint="default"/>
      </w:rPr>
    </w:lvl>
    <w:lvl w:ilvl="6" w:tplc="26AC0EAA" w:tentative="1">
      <w:start w:val="1"/>
      <w:numFmt w:val="bullet"/>
      <w:lvlText w:val=""/>
      <w:lvlJc w:val="left"/>
      <w:pPr>
        <w:ind w:left="5040" w:hanging="360"/>
      </w:pPr>
      <w:rPr>
        <w:rFonts w:ascii="Symbol" w:hAnsi="Symbol" w:hint="default"/>
      </w:rPr>
    </w:lvl>
    <w:lvl w:ilvl="7" w:tplc="F5B0FDBC" w:tentative="1">
      <w:start w:val="1"/>
      <w:numFmt w:val="bullet"/>
      <w:lvlText w:val="o"/>
      <w:lvlJc w:val="left"/>
      <w:pPr>
        <w:ind w:left="5760" w:hanging="360"/>
      </w:pPr>
      <w:rPr>
        <w:rFonts w:ascii="Courier New" w:hAnsi="Courier New" w:cs="Courier New" w:hint="default"/>
      </w:rPr>
    </w:lvl>
    <w:lvl w:ilvl="8" w:tplc="98D25C5A" w:tentative="1">
      <w:start w:val="1"/>
      <w:numFmt w:val="bullet"/>
      <w:lvlText w:val=""/>
      <w:lvlJc w:val="left"/>
      <w:pPr>
        <w:ind w:left="6480" w:hanging="360"/>
      </w:pPr>
      <w:rPr>
        <w:rFonts w:ascii="Wingdings" w:hAnsi="Wingdings" w:hint="default"/>
      </w:rPr>
    </w:lvl>
  </w:abstractNum>
  <w:abstractNum w:abstractNumId="3" w15:restartNumberingAfterBreak="0">
    <w:nsid w:val="0B6317B1"/>
    <w:multiLevelType w:val="hybridMultilevel"/>
    <w:tmpl w:val="1BA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2B7E"/>
    <w:multiLevelType w:val="hybridMultilevel"/>
    <w:tmpl w:val="D9621FCC"/>
    <w:lvl w:ilvl="0" w:tplc="6C9E5D88">
      <w:start w:val="1"/>
      <w:numFmt w:val="bullet"/>
      <w:lvlText w:val=""/>
      <w:lvlJc w:val="left"/>
      <w:pPr>
        <w:ind w:left="720" w:hanging="360"/>
      </w:pPr>
      <w:rPr>
        <w:rFonts w:ascii="Symbol" w:hAnsi="Symbol" w:hint="default"/>
      </w:rPr>
    </w:lvl>
    <w:lvl w:ilvl="1" w:tplc="BCEE8352" w:tentative="1">
      <w:start w:val="1"/>
      <w:numFmt w:val="bullet"/>
      <w:lvlText w:val="o"/>
      <w:lvlJc w:val="left"/>
      <w:pPr>
        <w:ind w:left="1440" w:hanging="360"/>
      </w:pPr>
      <w:rPr>
        <w:rFonts w:ascii="Courier New" w:hAnsi="Courier New" w:cs="Courier New" w:hint="default"/>
      </w:rPr>
    </w:lvl>
    <w:lvl w:ilvl="2" w:tplc="5150E2F2" w:tentative="1">
      <w:start w:val="1"/>
      <w:numFmt w:val="bullet"/>
      <w:lvlText w:val=""/>
      <w:lvlJc w:val="left"/>
      <w:pPr>
        <w:ind w:left="2160" w:hanging="360"/>
      </w:pPr>
      <w:rPr>
        <w:rFonts w:ascii="Wingdings" w:hAnsi="Wingdings" w:hint="default"/>
      </w:rPr>
    </w:lvl>
    <w:lvl w:ilvl="3" w:tplc="068463FC" w:tentative="1">
      <w:start w:val="1"/>
      <w:numFmt w:val="bullet"/>
      <w:lvlText w:val=""/>
      <w:lvlJc w:val="left"/>
      <w:pPr>
        <w:ind w:left="2880" w:hanging="360"/>
      </w:pPr>
      <w:rPr>
        <w:rFonts w:ascii="Symbol" w:hAnsi="Symbol" w:hint="default"/>
      </w:rPr>
    </w:lvl>
    <w:lvl w:ilvl="4" w:tplc="53D46D64" w:tentative="1">
      <w:start w:val="1"/>
      <w:numFmt w:val="bullet"/>
      <w:lvlText w:val="o"/>
      <w:lvlJc w:val="left"/>
      <w:pPr>
        <w:ind w:left="3600" w:hanging="360"/>
      </w:pPr>
      <w:rPr>
        <w:rFonts w:ascii="Courier New" w:hAnsi="Courier New" w:cs="Courier New" w:hint="default"/>
      </w:rPr>
    </w:lvl>
    <w:lvl w:ilvl="5" w:tplc="21A419CE" w:tentative="1">
      <w:start w:val="1"/>
      <w:numFmt w:val="bullet"/>
      <w:lvlText w:val=""/>
      <w:lvlJc w:val="left"/>
      <w:pPr>
        <w:ind w:left="4320" w:hanging="360"/>
      </w:pPr>
      <w:rPr>
        <w:rFonts w:ascii="Wingdings" w:hAnsi="Wingdings" w:hint="default"/>
      </w:rPr>
    </w:lvl>
    <w:lvl w:ilvl="6" w:tplc="6DCC90DC" w:tentative="1">
      <w:start w:val="1"/>
      <w:numFmt w:val="bullet"/>
      <w:lvlText w:val=""/>
      <w:lvlJc w:val="left"/>
      <w:pPr>
        <w:ind w:left="5040" w:hanging="360"/>
      </w:pPr>
      <w:rPr>
        <w:rFonts w:ascii="Symbol" w:hAnsi="Symbol" w:hint="default"/>
      </w:rPr>
    </w:lvl>
    <w:lvl w:ilvl="7" w:tplc="BB0E9F92" w:tentative="1">
      <w:start w:val="1"/>
      <w:numFmt w:val="bullet"/>
      <w:lvlText w:val="o"/>
      <w:lvlJc w:val="left"/>
      <w:pPr>
        <w:ind w:left="5760" w:hanging="360"/>
      </w:pPr>
      <w:rPr>
        <w:rFonts w:ascii="Courier New" w:hAnsi="Courier New" w:cs="Courier New" w:hint="default"/>
      </w:rPr>
    </w:lvl>
    <w:lvl w:ilvl="8" w:tplc="22C44194" w:tentative="1">
      <w:start w:val="1"/>
      <w:numFmt w:val="bullet"/>
      <w:lvlText w:val=""/>
      <w:lvlJc w:val="left"/>
      <w:pPr>
        <w:ind w:left="6480" w:hanging="360"/>
      </w:pPr>
      <w:rPr>
        <w:rFonts w:ascii="Wingdings" w:hAnsi="Wingdings" w:hint="default"/>
      </w:rPr>
    </w:lvl>
  </w:abstractNum>
  <w:abstractNum w:abstractNumId="5" w15:restartNumberingAfterBreak="0">
    <w:nsid w:val="0F060D89"/>
    <w:multiLevelType w:val="hybridMultilevel"/>
    <w:tmpl w:val="C5D645D8"/>
    <w:lvl w:ilvl="0" w:tplc="6F9C23EC">
      <w:start w:val="1"/>
      <w:numFmt w:val="bullet"/>
      <w:lvlText w:val=""/>
      <w:lvlJc w:val="left"/>
      <w:pPr>
        <w:ind w:left="720" w:hanging="360"/>
      </w:pPr>
      <w:rPr>
        <w:rFonts w:ascii="Symbol" w:hAnsi="Symbol" w:hint="default"/>
      </w:rPr>
    </w:lvl>
    <w:lvl w:ilvl="1" w:tplc="9C5ABA8A" w:tentative="1">
      <w:start w:val="1"/>
      <w:numFmt w:val="bullet"/>
      <w:lvlText w:val="o"/>
      <w:lvlJc w:val="left"/>
      <w:pPr>
        <w:ind w:left="1440" w:hanging="360"/>
      </w:pPr>
      <w:rPr>
        <w:rFonts w:ascii="Courier New" w:hAnsi="Courier New" w:cs="Courier New" w:hint="default"/>
      </w:rPr>
    </w:lvl>
    <w:lvl w:ilvl="2" w:tplc="CD9A1268" w:tentative="1">
      <w:start w:val="1"/>
      <w:numFmt w:val="bullet"/>
      <w:lvlText w:val=""/>
      <w:lvlJc w:val="left"/>
      <w:pPr>
        <w:ind w:left="2160" w:hanging="360"/>
      </w:pPr>
      <w:rPr>
        <w:rFonts w:ascii="Wingdings" w:hAnsi="Wingdings" w:hint="default"/>
      </w:rPr>
    </w:lvl>
    <w:lvl w:ilvl="3" w:tplc="74567836" w:tentative="1">
      <w:start w:val="1"/>
      <w:numFmt w:val="bullet"/>
      <w:lvlText w:val=""/>
      <w:lvlJc w:val="left"/>
      <w:pPr>
        <w:ind w:left="2880" w:hanging="360"/>
      </w:pPr>
      <w:rPr>
        <w:rFonts w:ascii="Symbol" w:hAnsi="Symbol" w:hint="default"/>
      </w:rPr>
    </w:lvl>
    <w:lvl w:ilvl="4" w:tplc="0AD61BF4" w:tentative="1">
      <w:start w:val="1"/>
      <w:numFmt w:val="bullet"/>
      <w:lvlText w:val="o"/>
      <w:lvlJc w:val="left"/>
      <w:pPr>
        <w:ind w:left="3600" w:hanging="360"/>
      </w:pPr>
      <w:rPr>
        <w:rFonts w:ascii="Courier New" w:hAnsi="Courier New" w:cs="Courier New" w:hint="default"/>
      </w:rPr>
    </w:lvl>
    <w:lvl w:ilvl="5" w:tplc="A1C69D08" w:tentative="1">
      <w:start w:val="1"/>
      <w:numFmt w:val="bullet"/>
      <w:lvlText w:val=""/>
      <w:lvlJc w:val="left"/>
      <w:pPr>
        <w:ind w:left="4320" w:hanging="360"/>
      </w:pPr>
      <w:rPr>
        <w:rFonts w:ascii="Wingdings" w:hAnsi="Wingdings" w:hint="default"/>
      </w:rPr>
    </w:lvl>
    <w:lvl w:ilvl="6" w:tplc="B02AE1CC" w:tentative="1">
      <w:start w:val="1"/>
      <w:numFmt w:val="bullet"/>
      <w:lvlText w:val=""/>
      <w:lvlJc w:val="left"/>
      <w:pPr>
        <w:ind w:left="5040" w:hanging="360"/>
      </w:pPr>
      <w:rPr>
        <w:rFonts w:ascii="Symbol" w:hAnsi="Symbol" w:hint="default"/>
      </w:rPr>
    </w:lvl>
    <w:lvl w:ilvl="7" w:tplc="F3A8FECC" w:tentative="1">
      <w:start w:val="1"/>
      <w:numFmt w:val="bullet"/>
      <w:lvlText w:val="o"/>
      <w:lvlJc w:val="left"/>
      <w:pPr>
        <w:ind w:left="5760" w:hanging="360"/>
      </w:pPr>
      <w:rPr>
        <w:rFonts w:ascii="Courier New" w:hAnsi="Courier New" w:cs="Courier New" w:hint="default"/>
      </w:rPr>
    </w:lvl>
    <w:lvl w:ilvl="8" w:tplc="7C88CB68" w:tentative="1">
      <w:start w:val="1"/>
      <w:numFmt w:val="bullet"/>
      <w:lvlText w:val=""/>
      <w:lvlJc w:val="left"/>
      <w:pPr>
        <w:ind w:left="6480" w:hanging="360"/>
      </w:pPr>
      <w:rPr>
        <w:rFonts w:ascii="Wingdings" w:hAnsi="Wingdings" w:hint="default"/>
      </w:rPr>
    </w:lvl>
  </w:abstractNum>
  <w:abstractNum w:abstractNumId="6" w15:restartNumberingAfterBreak="0">
    <w:nsid w:val="1529788C"/>
    <w:multiLevelType w:val="hybridMultilevel"/>
    <w:tmpl w:val="A4A01B66"/>
    <w:lvl w:ilvl="0" w:tplc="EEB418AC">
      <w:start w:val="1"/>
      <w:numFmt w:val="bullet"/>
      <w:lvlText w:val=""/>
      <w:lvlJc w:val="left"/>
      <w:pPr>
        <w:ind w:left="720" w:hanging="360"/>
      </w:pPr>
      <w:rPr>
        <w:rFonts w:ascii="Symbol" w:hAnsi="Symbol" w:hint="default"/>
      </w:rPr>
    </w:lvl>
    <w:lvl w:ilvl="1" w:tplc="E4620B4E" w:tentative="1">
      <w:start w:val="1"/>
      <w:numFmt w:val="bullet"/>
      <w:lvlText w:val="o"/>
      <w:lvlJc w:val="left"/>
      <w:pPr>
        <w:ind w:left="1440" w:hanging="360"/>
      </w:pPr>
      <w:rPr>
        <w:rFonts w:ascii="Courier New" w:hAnsi="Courier New" w:cs="Courier New" w:hint="default"/>
      </w:rPr>
    </w:lvl>
    <w:lvl w:ilvl="2" w:tplc="F002FDF8" w:tentative="1">
      <w:start w:val="1"/>
      <w:numFmt w:val="bullet"/>
      <w:lvlText w:val=""/>
      <w:lvlJc w:val="left"/>
      <w:pPr>
        <w:ind w:left="2160" w:hanging="360"/>
      </w:pPr>
      <w:rPr>
        <w:rFonts w:ascii="Wingdings" w:hAnsi="Wingdings" w:hint="default"/>
      </w:rPr>
    </w:lvl>
    <w:lvl w:ilvl="3" w:tplc="A17A5212" w:tentative="1">
      <w:start w:val="1"/>
      <w:numFmt w:val="bullet"/>
      <w:lvlText w:val=""/>
      <w:lvlJc w:val="left"/>
      <w:pPr>
        <w:ind w:left="2880" w:hanging="360"/>
      </w:pPr>
      <w:rPr>
        <w:rFonts w:ascii="Symbol" w:hAnsi="Symbol" w:hint="default"/>
      </w:rPr>
    </w:lvl>
    <w:lvl w:ilvl="4" w:tplc="F8F8EC8A" w:tentative="1">
      <w:start w:val="1"/>
      <w:numFmt w:val="bullet"/>
      <w:lvlText w:val="o"/>
      <w:lvlJc w:val="left"/>
      <w:pPr>
        <w:ind w:left="3600" w:hanging="360"/>
      </w:pPr>
      <w:rPr>
        <w:rFonts w:ascii="Courier New" w:hAnsi="Courier New" w:cs="Courier New" w:hint="default"/>
      </w:rPr>
    </w:lvl>
    <w:lvl w:ilvl="5" w:tplc="237A533A" w:tentative="1">
      <w:start w:val="1"/>
      <w:numFmt w:val="bullet"/>
      <w:lvlText w:val=""/>
      <w:lvlJc w:val="left"/>
      <w:pPr>
        <w:ind w:left="4320" w:hanging="360"/>
      </w:pPr>
      <w:rPr>
        <w:rFonts w:ascii="Wingdings" w:hAnsi="Wingdings" w:hint="default"/>
      </w:rPr>
    </w:lvl>
    <w:lvl w:ilvl="6" w:tplc="43AA529A" w:tentative="1">
      <w:start w:val="1"/>
      <w:numFmt w:val="bullet"/>
      <w:lvlText w:val=""/>
      <w:lvlJc w:val="left"/>
      <w:pPr>
        <w:ind w:left="5040" w:hanging="360"/>
      </w:pPr>
      <w:rPr>
        <w:rFonts w:ascii="Symbol" w:hAnsi="Symbol" w:hint="default"/>
      </w:rPr>
    </w:lvl>
    <w:lvl w:ilvl="7" w:tplc="58A29ECA" w:tentative="1">
      <w:start w:val="1"/>
      <w:numFmt w:val="bullet"/>
      <w:lvlText w:val="o"/>
      <w:lvlJc w:val="left"/>
      <w:pPr>
        <w:ind w:left="5760" w:hanging="360"/>
      </w:pPr>
      <w:rPr>
        <w:rFonts w:ascii="Courier New" w:hAnsi="Courier New" w:cs="Courier New" w:hint="default"/>
      </w:rPr>
    </w:lvl>
    <w:lvl w:ilvl="8" w:tplc="1D9E83E8" w:tentative="1">
      <w:start w:val="1"/>
      <w:numFmt w:val="bullet"/>
      <w:lvlText w:val=""/>
      <w:lvlJc w:val="left"/>
      <w:pPr>
        <w:ind w:left="6480" w:hanging="360"/>
      </w:pPr>
      <w:rPr>
        <w:rFonts w:ascii="Wingdings" w:hAnsi="Wingdings" w:hint="default"/>
      </w:rPr>
    </w:lvl>
  </w:abstractNum>
  <w:abstractNum w:abstractNumId="7" w15:restartNumberingAfterBreak="0">
    <w:nsid w:val="176B18BA"/>
    <w:multiLevelType w:val="hybridMultilevel"/>
    <w:tmpl w:val="7DAA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217E4"/>
    <w:multiLevelType w:val="hybridMultilevel"/>
    <w:tmpl w:val="7C38CEE2"/>
    <w:lvl w:ilvl="0" w:tplc="8A683076">
      <w:start w:val="1"/>
      <w:numFmt w:val="bullet"/>
      <w:lvlText w:val=""/>
      <w:lvlJc w:val="left"/>
      <w:pPr>
        <w:ind w:left="720" w:hanging="360"/>
      </w:pPr>
      <w:rPr>
        <w:rFonts w:ascii="Symbol" w:hAnsi="Symbol" w:hint="default"/>
      </w:rPr>
    </w:lvl>
    <w:lvl w:ilvl="1" w:tplc="9C62F748" w:tentative="1">
      <w:start w:val="1"/>
      <w:numFmt w:val="bullet"/>
      <w:lvlText w:val="o"/>
      <w:lvlJc w:val="left"/>
      <w:pPr>
        <w:ind w:left="1440" w:hanging="360"/>
      </w:pPr>
      <w:rPr>
        <w:rFonts w:ascii="Courier New" w:hAnsi="Courier New" w:cs="Courier New" w:hint="default"/>
      </w:rPr>
    </w:lvl>
    <w:lvl w:ilvl="2" w:tplc="4B72D58C" w:tentative="1">
      <w:start w:val="1"/>
      <w:numFmt w:val="bullet"/>
      <w:lvlText w:val=""/>
      <w:lvlJc w:val="left"/>
      <w:pPr>
        <w:ind w:left="2160" w:hanging="360"/>
      </w:pPr>
      <w:rPr>
        <w:rFonts w:ascii="Wingdings" w:hAnsi="Wingdings" w:hint="default"/>
      </w:rPr>
    </w:lvl>
    <w:lvl w:ilvl="3" w:tplc="0B3EC6A0" w:tentative="1">
      <w:start w:val="1"/>
      <w:numFmt w:val="bullet"/>
      <w:lvlText w:val=""/>
      <w:lvlJc w:val="left"/>
      <w:pPr>
        <w:ind w:left="2880" w:hanging="360"/>
      </w:pPr>
      <w:rPr>
        <w:rFonts w:ascii="Symbol" w:hAnsi="Symbol" w:hint="default"/>
      </w:rPr>
    </w:lvl>
    <w:lvl w:ilvl="4" w:tplc="5AD4CC1E" w:tentative="1">
      <w:start w:val="1"/>
      <w:numFmt w:val="bullet"/>
      <w:lvlText w:val="o"/>
      <w:lvlJc w:val="left"/>
      <w:pPr>
        <w:ind w:left="3600" w:hanging="360"/>
      </w:pPr>
      <w:rPr>
        <w:rFonts w:ascii="Courier New" w:hAnsi="Courier New" w:cs="Courier New" w:hint="default"/>
      </w:rPr>
    </w:lvl>
    <w:lvl w:ilvl="5" w:tplc="1D5000F4" w:tentative="1">
      <w:start w:val="1"/>
      <w:numFmt w:val="bullet"/>
      <w:lvlText w:val=""/>
      <w:lvlJc w:val="left"/>
      <w:pPr>
        <w:ind w:left="4320" w:hanging="360"/>
      </w:pPr>
      <w:rPr>
        <w:rFonts w:ascii="Wingdings" w:hAnsi="Wingdings" w:hint="default"/>
      </w:rPr>
    </w:lvl>
    <w:lvl w:ilvl="6" w:tplc="0D2EDE84" w:tentative="1">
      <w:start w:val="1"/>
      <w:numFmt w:val="bullet"/>
      <w:lvlText w:val=""/>
      <w:lvlJc w:val="left"/>
      <w:pPr>
        <w:ind w:left="5040" w:hanging="360"/>
      </w:pPr>
      <w:rPr>
        <w:rFonts w:ascii="Symbol" w:hAnsi="Symbol" w:hint="default"/>
      </w:rPr>
    </w:lvl>
    <w:lvl w:ilvl="7" w:tplc="EAE04BF8" w:tentative="1">
      <w:start w:val="1"/>
      <w:numFmt w:val="bullet"/>
      <w:lvlText w:val="o"/>
      <w:lvlJc w:val="left"/>
      <w:pPr>
        <w:ind w:left="5760" w:hanging="360"/>
      </w:pPr>
      <w:rPr>
        <w:rFonts w:ascii="Courier New" w:hAnsi="Courier New" w:cs="Courier New" w:hint="default"/>
      </w:rPr>
    </w:lvl>
    <w:lvl w:ilvl="8" w:tplc="C8702442" w:tentative="1">
      <w:start w:val="1"/>
      <w:numFmt w:val="bullet"/>
      <w:lvlText w:val=""/>
      <w:lvlJc w:val="left"/>
      <w:pPr>
        <w:ind w:left="6480" w:hanging="360"/>
      </w:pPr>
      <w:rPr>
        <w:rFonts w:ascii="Wingdings" w:hAnsi="Wingdings" w:hint="default"/>
      </w:rPr>
    </w:lvl>
  </w:abstractNum>
  <w:abstractNum w:abstractNumId="9" w15:restartNumberingAfterBreak="0">
    <w:nsid w:val="38CA5A86"/>
    <w:multiLevelType w:val="hybridMultilevel"/>
    <w:tmpl w:val="1D9C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84D2D"/>
    <w:multiLevelType w:val="hybridMultilevel"/>
    <w:tmpl w:val="00E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41DD1"/>
    <w:multiLevelType w:val="hybridMultilevel"/>
    <w:tmpl w:val="3542A188"/>
    <w:lvl w:ilvl="0" w:tplc="C50A8752">
      <w:start w:val="1"/>
      <w:numFmt w:val="bullet"/>
      <w:lvlText w:val=""/>
      <w:lvlJc w:val="left"/>
      <w:pPr>
        <w:ind w:left="360" w:hanging="360"/>
      </w:pPr>
      <w:rPr>
        <w:rFonts w:ascii="Symbol" w:hAnsi="Symbol" w:hint="default"/>
      </w:rPr>
    </w:lvl>
    <w:lvl w:ilvl="1" w:tplc="B5ECB228">
      <w:start w:val="1"/>
      <w:numFmt w:val="bullet"/>
      <w:lvlText w:val="o"/>
      <w:lvlJc w:val="left"/>
      <w:pPr>
        <w:ind w:left="1080" w:hanging="360"/>
      </w:pPr>
      <w:rPr>
        <w:rFonts w:ascii="Courier New" w:hAnsi="Courier New" w:cs="Courier New" w:hint="default"/>
      </w:rPr>
    </w:lvl>
    <w:lvl w:ilvl="2" w:tplc="3D1825C2">
      <w:start w:val="1"/>
      <w:numFmt w:val="bullet"/>
      <w:lvlText w:val=""/>
      <w:lvlJc w:val="left"/>
      <w:pPr>
        <w:ind w:left="1800" w:hanging="360"/>
      </w:pPr>
      <w:rPr>
        <w:rFonts w:ascii="Wingdings" w:hAnsi="Wingdings" w:hint="default"/>
      </w:rPr>
    </w:lvl>
    <w:lvl w:ilvl="3" w:tplc="F87C40C2">
      <w:start w:val="1"/>
      <w:numFmt w:val="bullet"/>
      <w:lvlText w:val=""/>
      <w:lvlJc w:val="left"/>
      <w:pPr>
        <w:ind w:left="2520" w:hanging="360"/>
      </w:pPr>
      <w:rPr>
        <w:rFonts w:ascii="Symbol" w:hAnsi="Symbol" w:hint="default"/>
      </w:rPr>
    </w:lvl>
    <w:lvl w:ilvl="4" w:tplc="C5640FBA">
      <w:start w:val="1"/>
      <w:numFmt w:val="bullet"/>
      <w:lvlText w:val="o"/>
      <w:lvlJc w:val="left"/>
      <w:pPr>
        <w:ind w:left="3240" w:hanging="360"/>
      </w:pPr>
      <w:rPr>
        <w:rFonts w:ascii="Courier New" w:hAnsi="Courier New" w:cs="Courier New" w:hint="default"/>
      </w:rPr>
    </w:lvl>
    <w:lvl w:ilvl="5" w:tplc="9BC44348">
      <w:start w:val="1"/>
      <w:numFmt w:val="bullet"/>
      <w:lvlText w:val=""/>
      <w:lvlJc w:val="left"/>
      <w:pPr>
        <w:ind w:left="3960" w:hanging="360"/>
      </w:pPr>
      <w:rPr>
        <w:rFonts w:ascii="Wingdings" w:hAnsi="Wingdings" w:hint="default"/>
      </w:rPr>
    </w:lvl>
    <w:lvl w:ilvl="6" w:tplc="7576A9BA">
      <w:start w:val="1"/>
      <w:numFmt w:val="bullet"/>
      <w:lvlText w:val=""/>
      <w:lvlJc w:val="left"/>
      <w:pPr>
        <w:ind w:left="4680" w:hanging="360"/>
      </w:pPr>
      <w:rPr>
        <w:rFonts w:ascii="Symbol" w:hAnsi="Symbol" w:hint="default"/>
      </w:rPr>
    </w:lvl>
    <w:lvl w:ilvl="7" w:tplc="E55A460A">
      <w:start w:val="1"/>
      <w:numFmt w:val="bullet"/>
      <w:lvlText w:val="o"/>
      <w:lvlJc w:val="left"/>
      <w:pPr>
        <w:ind w:left="5400" w:hanging="360"/>
      </w:pPr>
      <w:rPr>
        <w:rFonts w:ascii="Courier New" w:hAnsi="Courier New" w:cs="Courier New" w:hint="default"/>
      </w:rPr>
    </w:lvl>
    <w:lvl w:ilvl="8" w:tplc="586C7CE6">
      <w:start w:val="1"/>
      <w:numFmt w:val="bullet"/>
      <w:lvlText w:val=""/>
      <w:lvlJc w:val="left"/>
      <w:pPr>
        <w:ind w:left="6120" w:hanging="360"/>
      </w:pPr>
      <w:rPr>
        <w:rFonts w:ascii="Wingdings" w:hAnsi="Wingdings" w:hint="default"/>
      </w:rPr>
    </w:lvl>
  </w:abstractNum>
  <w:abstractNum w:abstractNumId="12" w15:restartNumberingAfterBreak="0">
    <w:nsid w:val="572270B1"/>
    <w:multiLevelType w:val="hybridMultilevel"/>
    <w:tmpl w:val="ED10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D5A3E"/>
    <w:multiLevelType w:val="hybridMultilevel"/>
    <w:tmpl w:val="A8C668BC"/>
    <w:lvl w:ilvl="0" w:tplc="7A267C9E">
      <w:start w:val="1"/>
      <w:numFmt w:val="bullet"/>
      <w:lvlText w:val=""/>
      <w:lvlJc w:val="left"/>
      <w:pPr>
        <w:ind w:left="720" w:hanging="360"/>
      </w:pPr>
      <w:rPr>
        <w:rFonts w:ascii="Symbol" w:hAnsi="Symbol" w:hint="default"/>
      </w:rPr>
    </w:lvl>
    <w:lvl w:ilvl="1" w:tplc="4AECBB6E" w:tentative="1">
      <w:start w:val="1"/>
      <w:numFmt w:val="bullet"/>
      <w:lvlText w:val="o"/>
      <w:lvlJc w:val="left"/>
      <w:pPr>
        <w:ind w:left="1440" w:hanging="360"/>
      </w:pPr>
      <w:rPr>
        <w:rFonts w:ascii="Courier New" w:hAnsi="Courier New" w:cs="Courier New" w:hint="default"/>
      </w:rPr>
    </w:lvl>
    <w:lvl w:ilvl="2" w:tplc="FD1E244E" w:tentative="1">
      <w:start w:val="1"/>
      <w:numFmt w:val="bullet"/>
      <w:lvlText w:val=""/>
      <w:lvlJc w:val="left"/>
      <w:pPr>
        <w:ind w:left="2160" w:hanging="360"/>
      </w:pPr>
      <w:rPr>
        <w:rFonts w:ascii="Wingdings" w:hAnsi="Wingdings" w:hint="default"/>
      </w:rPr>
    </w:lvl>
    <w:lvl w:ilvl="3" w:tplc="2F461082" w:tentative="1">
      <w:start w:val="1"/>
      <w:numFmt w:val="bullet"/>
      <w:lvlText w:val=""/>
      <w:lvlJc w:val="left"/>
      <w:pPr>
        <w:ind w:left="2880" w:hanging="360"/>
      </w:pPr>
      <w:rPr>
        <w:rFonts w:ascii="Symbol" w:hAnsi="Symbol" w:hint="default"/>
      </w:rPr>
    </w:lvl>
    <w:lvl w:ilvl="4" w:tplc="D14A85E2" w:tentative="1">
      <w:start w:val="1"/>
      <w:numFmt w:val="bullet"/>
      <w:lvlText w:val="o"/>
      <w:lvlJc w:val="left"/>
      <w:pPr>
        <w:ind w:left="3600" w:hanging="360"/>
      </w:pPr>
      <w:rPr>
        <w:rFonts w:ascii="Courier New" w:hAnsi="Courier New" w:cs="Courier New" w:hint="default"/>
      </w:rPr>
    </w:lvl>
    <w:lvl w:ilvl="5" w:tplc="B914BB6A" w:tentative="1">
      <w:start w:val="1"/>
      <w:numFmt w:val="bullet"/>
      <w:lvlText w:val=""/>
      <w:lvlJc w:val="left"/>
      <w:pPr>
        <w:ind w:left="4320" w:hanging="360"/>
      </w:pPr>
      <w:rPr>
        <w:rFonts w:ascii="Wingdings" w:hAnsi="Wingdings" w:hint="default"/>
      </w:rPr>
    </w:lvl>
    <w:lvl w:ilvl="6" w:tplc="54A0DCE0" w:tentative="1">
      <w:start w:val="1"/>
      <w:numFmt w:val="bullet"/>
      <w:lvlText w:val=""/>
      <w:lvlJc w:val="left"/>
      <w:pPr>
        <w:ind w:left="5040" w:hanging="360"/>
      </w:pPr>
      <w:rPr>
        <w:rFonts w:ascii="Symbol" w:hAnsi="Symbol" w:hint="default"/>
      </w:rPr>
    </w:lvl>
    <w:lvl w:ilvl="7" w:tplc="06D689B6" w:tentative="1">
      <w:start w:val="1"/>
      <w:numFmt w:val="bullet"/>
      <w:lvlText w:val="o"/>
      <w:lvlJc w:val="left"/>
      <w:pPr>
        <w:ind w:left="5760" w:hanging="360"/>
      </w:pPr>
      <w:rPr>
        <w:rFonts w:ascii="Courier New" w:hAnsi="Courier New" w:cs="Courier New" w:hint="default"/>
      </w:rPr>
    </w:lvl>
    <w:lvl w:ilvl="8" w:tplc="7E4C8894" w:tentative="1">
      <w:start w:val="1"/>
      <w:numFmt w:val="bullet"/>
      <w:lvlText w:val=""/>
      <w:lvlJc w:val="left"/>
      <w:pPr>
        <w:ind w:left="6480" w:hanging="360"/>
      </w:pPr>
      <w:rPr>
        <w:rFonts w:ascii="Wingdings" w:hAnsi="Wingdings" w:hint="default"/>
      </w:rPr>
    </w:lvl>
  </w:abstractNum>
  <w:abstractNum w:abstractNumId="14" w15:restartNumberingAfterBreak="0">
    <w:nsid w:val="62935B9C"/>
    <w:multiLevelType w:val="hybridMultilevel"/>
    <w:tmpl w:val="5B94B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749FA"/>
    <w:multiLevelType w:val="multilevel"/>
    <w:tmpl w:val="8228CF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E645001"/>
    <w:multiLevelType w:val="hybridMultilevel"/>
    <w:tmpl w:val="5D8E8E5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8E2F9B"/>
    <w:multiLevelType w:val="hybridMultilevel"/>
    <w:tmpl w:val="35DED682"/>
    <w:lvl w:ilvl="0" w:tplc="1AFEEDD4">
      <w:start w:val="1"/>
      <w:numFmt w:val="bullet"/>
      <w:lvlText w:val=""/>
      <w:lvlJc w:val="left"/>
      <w:pPr>
        <w:ind w:left="720" w:hanging="360"/>
      </w:pPr>
      <w:rPr>
        <w:rFonts w:ascii="Symbol" w:hAnsi="Symbol" w:hint="default"/>
      </w:rPr>
    </w:lvl>
    <w:lvl w:ilvl="1" w:tplc="743A5CF0" w:tentative="1">
      <w:start w:val="1"/>
      <w:numFmt w:val="bullet"/>
      <w:lvlText w:val="o"/>
      <w:lvlJc w:val="left"/>
      <w:pPr>
        <w:ind w:left="1440" w:hanging="360"/>
      </w:pPr>
      <w:rPr>
        <w:rFonts w:ascii="Courier New" w:hAnsi="Courier New" w:cs="Courier New" w:hint="default"/>
      </w:rPr>
    </w:lvl>
    <w:lvl w:ilvl="2" w:tplc="C5BC344C" w:tentative="1">
      <w:start w:val="1"/>
      <w:numFmt w:val="bullet"/>
      <w:lvlText w:val=""/>
      <w:lvlJc w:val="left"/>
      <w:pPr>
        <w:ind w:left="2160" w:hanging="360"/>
      </w:pPr>
      <w:rPr>
        <w:rFonts w:ascii="Wingdings" w:hAnsi="Wingdings" w:hint="default"/>
      </w:rPr>
    </w:lvl>
    <w:lvl w:ilvl="3" w:tplc="D15E908A" w:tentative="1">
      <w:start w:val="1"/>
      <w:numFmt w:val="bullet"/>
      <w:lvlText w:val=""/>
      <w:lvlJc w:val="left"/>
      <w:pPr>
        <w:ind w:left="2880" w:hanging="360"/>
      </w:pPr>
      <w:rPr>
        <w:rFonts w:ascii="Symbol" w:hAnsi="Symbol" w:hint="default"/>
      </w:rPr>
    </w:lvl>
    <w:lvl w:ilvl="4" w:tplc="5FAE1FEA" w:tentative="1">
      <w:start w:val="1"/>
      <w:numFmt w:val="bullet"/>
      <w:lvlText w:val="o"/>
      <w:lvlJc w:val="left"/>
      <w:pPr>
        <w:ind w:left="3600" w:hanging="360"/>
      </w:pPr>
      <w:rPr>
        <w:rFonts w:ascii="Courier New" w:hAnsi="Courier New" w:cs="Courier New" w:hint="default"/>
      </w:rPr>
    </w:lvl>
    <w:lvl w:ilvl="5" w:tplc="DE46D3C8" w:tentative="1">
      <w:start w:val="1"/>
      <w:numFmt w:val="bullet"/>
      <w:lvlText w:val=""/>
      <w:lvlJc w:val="left"/>
      <w:pPr>
        <w:ind w:left="4320" w:hanging="360"/>
      </w:pPr>
      <w:rPr>
        <w:rFonts w:ascii="Wingdings" w:hAnsi="Wingdings" w:hint="default"/>
      </w:rPr>
    </w:lvl>
    <w:lvl w:ilvl="6" w:tplc="2964592E" w:tentative="1">
      <w:start w:val="1"/>
      <w:numFmt w:val="bullet"/>
      <w:lvlText w:val=""/>
      <w:lvlJc w:val="left"/>
      <w:pPr>
        <w:ind w:left="5040" w:hanging="360"/>
      </w:pPr>
      <w:rPr>
        <w:rFonts w:ascii="Symbol" w:hAnsi="Symbol" w:hint="default"/>
      </w:rPr>
    </w:lvl>
    <w:lvl w:ilvl="7" w:tplc="8AF66760" w:tentative="1">
      <w:start w:val="1"/>
      <w:numFmt w:val="bullet"/>
      <w:lvlText w:val="o"/>
      <w:lvlJc w:val="left"/>
      <w:pPr>
        <w:ind w:left="5760" w:hanging="360"/>
      </w:pPr>
      <w:rPr>
        <w:rFonts w:ascii="Courier New" w:hAnsi="Courier New" w:cs="Courier New" w:hint="default"/>
      </w:rPr>
    </w:lvl>
    <w:lvl w:ilvl="8" w:tplc="23281BD6" w:tentative="1">
      <w:start w:val="1"/>
      <w:numFmt w:val="bullet"/>
      <w:lvlText w:val=""/>
      <w:lvlJc w:val="left"/>
      <w:pPr>
        <w:ind w:left="6480" w:hanging="360"/>
      </w:pPr>
      <w:rPr>
        <w:rFonts w:ascii="Wingdings" w:hAnsi="Wingdings" w:hint="default"/>
      </w:rPr>
    </w:lvl>
  </w:abstractNum>
  <w:abstractNum w:abstractNumId="18" w15:restartNumberingAfterBreak="0">
    <w:nsid w:val="7BAC5B8B"/>
    <w:multiLevelType w:val="hybridMultilevel"/>
    <w:tmpl w:val="CB9A7C76"/>
    <w:lvl w:ilvl="0" w:tplc="B6E058CA">
      <w:start w:val="1"/>
      <w:numFmt w:val="bullet"/>
      <w:lvlText w:val=""/>
      <w:lvlJc w:val="left"/>
      <w:pPr>
        <w:ind w:left="360" w:hanging="360"/>
      </w:pPr>
      <w:rPr>
        <w:rFonts w:ascii="Symbol" w:hAnsi="Symbol" w:hint="default"/>
      </w:rPr>
    </w:lvl>
    <w:lvl w:ilvl="1" w:tplc="C8482606" w:tentative="1">
      <w:start w:val="1"/>
      <w:numFmt w:val="bullet"/>
      <w:lvlText w:val="o"/>
      <w:lvlJc w:val="left"/>
      <w:pPr>
        <w:ind w:left="1080" w:hanging="360"/>
      </w:pPr>
      <w:rPr>
        <w:rFonts w:ascii="Courier New" w:hAnsi="Courier New" w:cs="Courier New" w:hint="default"/>
      </w:rPr>
    </w:lvl>
    <w:lvl w:ilvl="2" w:tplc="16D0A5BC" w:tentative="1">
      <w:start w:val="1"/>
      <w:numFmt w:val="bullet"/>
      <w:lvlText w:val=""/>
      <w:lvlJc w:val="left"/>
      <w:pPr>
        <w:ind w:left="1800" w:hanging="360"/>
      </w:pPr>
      <w:rPr>
        <w:rFonts w:ascii="Wingdings" w:hAnsi="Wingdings" w:hint="default"/>
      </w:rPr>
    </w:lvl>
    <w:lvl w:ilvl="3" w:tplc="BBFAE384" w:tentative="1">
      <w:start w:val="1"/>
      <w:numFmt w:val="bullet"/>
      <w:lvlText w:val=""/>
      <w:lvlJc w:val="left"/>
      <w:pPr>
        <w:ind w:left="2520" w:hanging="360"/>
      </w:pPr>
      <w:rPr>
        <w:rFonts w:ascii="Symbol" w:hAnsi="Symbol" w:hint="default"/>
      </w:rPr>
    </w:lvl>
    <w:lvl w:ilvl="4" w:tplc="C7D27482" w:tentative="1">
      <w:start w:val="1"/>
      <w:numFmt w:val="bullet"/>
      <w:lvlText w:val="o"/>
      <w:lvlJc w:val="left"/>
      <w:pPr>
        <w:ind w:left="3240" w:hanging="360"/>
      </w:pPr>
      <w:rPr>
        <w:rFonts w:ascii="Courier New" w:hAnsi="Courier New" w:cs="Courier New" w:hint="default"/>
      </w:rPr>
    </w:lvl>
    <w:lvl w:ilvl="5" w:tplc="0722DBEC" w:tentative="1">
      <w:start w:val="1"/>
      <w:numFmt w:val="bullet"/>
      <w:lvlText w:val=""/>
      <w:lvlJc w:val="left"/>
      <w:pPr>
        <w:ind w:left="3960" w:hanging="360"/>
      </w:pPr>
      <w:rPr>
        <w:rFonts w:ascii="Wingdings" w:hAnsi="Wingdings" w:hint="default"/>
      </w:rPr>
    </w:lvl>
    <w:lvl w:ilvl="6" w:tplc="9300E410" w:tentative="1">
      <w:start w:val="1"/>
      <w:numFmt w:val="bullet"/>
      <w:lvlText w:val=""/>
      <w:lvlJc w:val="left"/>
      <w:pPr>
        <w:ind w:left="4680" w:hanging="360"/>
      </w:pPr>
      <w:rPr>
        <w:rFonts w:ascii="Symbol" w:hAnsi="Symbol" w:hint="default"/>
      </w:rPr>
    </w:lvl>
    <w:lvl w:ilvl="7" w:tplc="F836CBD8" w:tentative="1">
      <w:start w:val="1"/>
      <w:numFmt w:val="bullet"/>
      <w:lvlText w:val="o"/>
      <w:lvlJc w:val="left"/>
      <w:pPr>
        <w:ind w:left="5400" w:hanging="360"/>
      </w:pPr>
      <w:rPr>
        <w:rFonts w:ascii="Courier New" w:hAnsi="Courier New" w:cs="Courier New" w:hint="default"/>
      </w:rPr>
    </w:lvl>
    <w:lvl w:ilvl="8" w:tplc="B1AED28E" w:tentative="1">
      <w:start w:val="1"/>
      <w:numFmt w:val="bullet"/>
      <w:lvlText w:val=""/>
      <w:lvlJc w:val="left"/>
      <w:pPr>
        <w:ind w:left="6120" w:hanging="360"/>
      </w:pPr>
      <w:rPr>
        <w:rFonts w:ascii="Wingdings" w:hAnsi="Wingdings" w:hint="default"/>
      </w:rPr>
    </w:lvl>
  </w:abstractNum>
  <w:num w:numId="1" w16cid:durableId="97335813">
    <w:abstractNumId w:val="5"/>
  </w:num>
  <w:num w:numId="2" w16cid:durableId="1432973877">
    <w:abstractNumId w:val="17"/>
  </w:num>
  <w:num w:numId="3" w16cid:durableId="2120638047">
    <w:abstractNumId w:val="6"/>
  </w:num>
  <w:num w:numId="4" w16cid:durableId="1789540245">
    <w:abstractNumId w:val="2"/>
  </w:num>
  <w:num w:numId="5" w16cid:durableId="547955587">
    <w:abstractNumId w:val="18"/>
  </w:num>
  <w:num w:numId="6" w16cid:durableId="906263918">
    <w:abstractNumId w:val="14"/>
  </w:num>
  <w:num w:numId="7" w16cid:durableId="890075767">
    <w:abstractNumId w:val="4"/>
  </w:num>
  <w:num w:numId="8" w16cid:durableId="284845906">
    <w:abstractNumId w:val="12"/>
  </w:num>
  <w:num w:numId="9" w16cid:durableId="11877820">
    <w:abstractNumId w:val="8"/>
  </w:num>
  <w:num w:numId="10" w16cid:durableId="586767357">
    <w:abstractNumId w:val="15"/>
  </w:num>
  <w:num w:numId="11" w16cid:durableId="24987488">
    <w:abstractNumId w:val="11"/>
  </w:num>
  <w:num w:numId="12" w16cid:durableId="116880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396">
    <w:abstractNumId w:val="13"/>
  </w:num>
  <w:num w:numId="14" w16cid:durableId="285502778">
    <w:abstractNumId w:val="1"/>
  </w:num>
  <w:num w:numId="15" w16cid:durableId="1832212122">
    <w:abstractNumId w:val="10"/>
  </w:num>
  <w:num w:numId="16" w16cid:durableId="1712225478">
    <w:abstractNumId w:val="3"/>
  </w:num>
  <w:num w:numId="17" w16cid:durableId="1527792351">
    <w:abstractNumId w:val="9"/>
  </w:num>
  <w:num w:numId="18" w16cid:durableId="1779367963">
    <w:abstractNumId w:val="16"/>
  </w:num>
  <w:num w:numId="19" w16cid:durableId="1193687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D0"/>
    <w:rsid w:val="000039D0"/>
    <w:rsid w:val="000069CF"/>
    <w:rsid w:val="000521A4"/>
    <w:rsid w:val="00076294"/>
    <w:rsid w:val="000C3304"/>
    <w:rsid w:val="000F78D0"/>
    <w:rsid w:val="0010072C"/>
    <w:rsid w:val="0012680E"/>
    <w:rsid w:val="001361A4"/>
    <w:rsid w:val="001426B6"/>
    <w:rsid w:val="00157C2B"/>
    <w:rsid w:val="00162B8E"/>
    <w:rsid w:val="001737F1"/>
    <w:rsid w:val="001B3CC2"/>
    <w:rsid w:val="001D42DE"/>
    <w:rsid w:val="001D4C40"/>
    <w:rsid w:val="001D7A52"/>
    <w:rsid w:val="001F0067"/>
    <w:rsid w:val="00206526"/>
    <w:rsid w:val="00222188"/>
    <w:rsid w:val="00226EA6"/>
    <w:rsid w:val="00260C33"/>
    <w:rsid w:val="002640C6"/>
    <w:rsid w:val="00273096"/>
    <w:rsid w:val="00296463"/>
    <w:rsid w:val="002A43B6"/>
    <w:rsid w:val="002D3F2E"/>
    <w:rsid w:val="002F5EBE"/>
    <w:rsid w:val="003756BE"/>
    <w:rsid w:val="003A3EE9"/>
    <w:rsid w:val="003B5DF0"/>
    <w:rsid w:val="003C25D0"/>
    <w:rsid w:val="003D2BD4"/>
    <w:rsid w:val="003F2BBF"/>
    <w:rsid w:val="00421D4F"/>
    <w:rsid w:val="00426F58"/>
    <w:rsid w:val="004412F5"/>
    <w:rsid w:val="00462C92"/>
    <w:rsid w:val="00463552"/>
    <w:rsid w:val="004729FD"/>
    <w:rsid w:val="004827CC"/>
    <w:rsid w:val="005111E9"/>
    <w:rsid w:val="00524626"/>
    <w:rsid w:val="00541A24"/>
    <w:rsid w:val="0054514F"/>
    <w:rsid w:val="00554543"/>
    <w:rsid w:val="00584AC5"/>
    <w:rsid w:val="005927E5"/>
    <w:rsid w:val="005A723B"/>
    <w:rsid w:val="005C1164"/>
    <w:rsid w:val="0060495B"/>
    <w:rsid w:val="006505DA"/>
    <w:rsid w:val="00674FA6"/>
    <w:rsid w:val="006835A9"/>
    <w:rsid w:val="006A261A"/>
    <w:rsid w:val="006B09FA"/>
    <w:rsid w:val="006B5002"/>
    <w:rsid w:val="006C366A"/>
    <w:rsid w:val="006C7483"/>
    <w:rsid w:val="006F3CBF"/>
    <w:rsid w:val="006F4040"/>
    <w:rsid w:val="00725935"/>
    <w:rsid w:val="007357E5"/>
    <w:rsid w:val="00747597"/>
    <w:rsid w:val="00757855"/>
    <w:rsid w:val="00761BCF"/>
    <w:rsid w:val="007712C2"/>
    <w:rsid w:val="007870A3"/>
    <w:rsid w:val="007902EB"/>
    <w:rsid w:val="007D6E16"/>
    <w:rsid w:val="00800E81"/>
    <w:rsid w:val="00854BD2"/>
    <w:rsid w:val="008739C5"/>
    <w:rsid w:val="00887293"/>
    <w:rsid w:val="008B30A7"/>
    <w:rsid w:val="008E02C8"/>
    <w:rsid w:val="008E1A80"/>
    <w:rsid w:val="008E26C7"/>
    <w:rsid w:val="00961413"/>
    <w:rsid w:val="009B4811"/>
    <w:rsid w:val="009B610D"/>
    <w:rsid w:val="009C214C"/>
    <w:rsid w:val="009C3C9D"/>
    <w:rsid w:val="00A0272E"/>
    <w:rsid w:val="00A63EF3"/>
    <w:rsid w:val="00A651CB"/>
    <w:rsid w:val="00A67F3A"/>
    <w:rsid w:val="00AA2801"/>
    <w:rsid w:val="00AC057F"/>
    <w:rsid w:val="00AE10DB"/>
    <w:rsid w:val="00AE76A8"/>
    <w:rsid w:val="00B010AC"/>
    <w:rsid w:val="00B22688"/>
    <w:rsid w:val="00B81721"/>
    <w:rsid w:val="00BB371F"/>
    <w:rsid w:val="00BE472A"/>
    <w:rsid w:val="00C139EB"/>
    <w:rsid w:val="00C323EE"/>
    <w:rsid w:val="00C36906"/>
    <w:rsid w:val="00C67F91"/>
    <w:rsid w:val="00C70023"/>
    <w:rsid w:val="00C75918"/>
    <w:rsid w:val="00CB5F7E"/>
    <w:rsid w:val="00CE134E"/>
    <w:rsid w:val="00CE52F7"/>
    <w:rsid w:val="00CF0644"/>
    <w:rsid w:val="00CF1E60"/>
    <w:rsid w:val="00D13626"/>
    <w:rsid w:val="00D25733"/>
    <w:rsid w:val="00D451D5"/>
    <w:rsid w:val="00D54880"/>
    <w:rsid w:val="00D56CDA"/>
    <w:rsid w:val="00D77AB0"/>
    <w:rsid w:val="00D84428"/>
    <w:rsid w:val="00D847B6"/>
    <w:rsid w:val="00DA05B7"/>
    <w:rsid w:val="00DD129F"/>
    <w:rsid w:val="00DD43C1"/>
    <w:rsid w:val="00DF1D38"/>
    <w:rsid w:val="00E03557"/>
    <w:rsid w:val="00E12E1B"/>
    <w:rsid w:val="00E54F2B"/>
    <w:rsid w:val="00E5774D"/>
    <w:rsid w:val="00E702DD"/>
    <w:rsid w:val="00E7581D"/>
    <w:rsid w:val="00E80322"/>
    <w:rsid w:val="00E8416F"/>
    <w:rsid w:val="00EA1B32"/>
    <w:rsid w:val="00EA6AD1"/>
    <w:rsid w:val="00EA78AA"/>
    <w:rsid w:val="00EB2A3A"/>
    <w:rsid w:val="00EE3176"/>
    <w:rsid w:val="00F16E02"/>
    <w:rsid w:val="00F36586"/>
    <w:rsid w:val="00F502D8"/>
    <w:rsid w:val="00F64643"/>
    <w:rsid w:val="00F8645C"/>
    <w:rsid w:val="00FA0384"/>
    <w:rsid w:val="00FE5CE5"/>
    <w:rsid w:val="00FF2FB5"/>
    <w:rsid w:val="289A9F44"/>
    <w:rsid w:val="3440D3BD"/>
    <w:rsid w:val="57E7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4AF"/>
  <w15:docId w15:val="{5108C40F-1BE7-4E87-ABC8-56A608D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E7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2C2"/>
    <w:rPr>
      <w:sz w:val="16"/>
      <w:szCs w:val="16"/>
    </w:rPr>
  </w:style>
  <w:style w:type="paragraph" w:styleId="CommentText">
    <w:name w:val="annotation text"/>
    <w:basedOn w:val="Normal"/>
    <w:link w:val="CommentTextChar"/>
    <w:uiPriority w:val="99"/>
    <w:unhideWhenUsed/>
    <w:rsid w:val="007712C2"/>
    <w:pPr>
      <w:spacing w:line="240" w:lineRule="auto"/>
    </w:pPr>
    <w:rPr>
      <w:sz w:val="20"/>
      <w:szCs w:val="20"/>
    </w:rPr>
  </w:style>
  <w:style w:type="character" w:customStyle="1" w:styleId="CommentTextChar">
    <w:name w:val="Comment Text Char"/>
    <w:basedOn w:val="DefaultParagraphFont"/>
    <w:link w:val="CommentText"/>
    <w:uiPriority w:val="99"/>
    <w:rsid w:val="007712C2"/>
    <w:rPr>
      <w:sz w:val="20"/>
      <w:szCs w:val="20"/>
    </w:rPr>
  </w:style>
  <w:style w:type="paragraph" w:styleId="CommentSubject">
    <w:name w:val="annotation subject"/>
    <w:basedOn w:val="CommentText"/>
    <w:next w:val="CommentText"/>
    <w:link w:val="CommentSubjectChar"/>
    <w:uiPriority w:val="99"/>
    <w:semiHidden/>
    <w:unhideWhenUsed/>
    <w:rsid w:val="007712C2"/>
    <w:rPr>
      <w:b/>
      <w:bCs/>
    </w:rPr>
  </w:style>
  <w:style w:type="character" w:customStyle="1" w:styleId="CommentSubjectChar">
    <w:name w:val="Comment Subject Char"/>
    <w:basedOn w:val="CommentTextChar"/>
    <w:link w:val="CommentSubject"/>
    <w:uiPriority w:val="99"/>
    <w:semiHidden/>
    <w:rsid w:val="007712C2"/>
    <w:rPr>
      <w:b/>
      <w:bCs/>
      <w:sz w:val="20"/>
      <w:szCs w:val="20"/>
    </w:rPr>
  </w:style>
  <w:style w:type="paragraph" w:styleId="BalloonText">
    <w:name w:val="Balloon Text"/>
    <w:basedOn w:val="Normal"/>
    <w:link w:val="BalloonTextChar"/>
    <w:uiPriority w:val="99"/>
    <w:semiHidden/>
    <w:unhideWhenUsed/>
    <w:rsid w:val="0077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C2"/>
    <w:rPr>
      <w:rFonts w:ascii="Segoe UI" w:hAnsi="Segoe UI" w:cs="Segoe UI"/>
      <w:sz w:val="18"/>
      <w:szCs w:val="18"/>
    </w:rPr>
  </w:style>
  <w:style w:type="character" w:styleId="Hyperlink">
    <w:name w:val="Hyperlink"/>
    <w:basedOn w:val="DefaultParagraphFont"/>
    <w:uiPriority w:val="99"/>
    <w:unhideWhenUsed/>
    <w:rsid w:val="001F0067"/>
    <w:rPr>
      <w:color w:val="0563C1"/>
      <w:u w:val="single"/>
    </w:rPr>
  </w:style>
  <w:style w:type="table" w:customStyle="1" w:styleId="TableGrid1">
    <w:name w:val="Table Grid1"/>
    <w:basedOn w:val="TableNormal"/>
    <w:next w:val="TableGrid"/>
    <w:uiPriority w:val="39"/>
    <w:rsid w:val="009C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2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14C"/>
    <w:rPr>
      <w:sz w:val="20"/>
      <w:szCs w:val="20"/>
    </w:rPr>
  </w:style>
  <w:style w:type="character" w:styleId="FootnoteReference">
    <w:name w:val="footnote reference"/>
    <w:basedOn w:val="DefaultParagraphFont"/>
    <w:uiPriority w:val="99"/>
    <w:semiHidden/>
    <w:unhideWhenUsed/>
    <w:rsid w:val="009C214C"/>
    <w:rPr>
      <w:vertAlign w:val="superscript"/>
    </w:rPr>
  </w:style>
  <w:style w:type="character" w:styleId="UnresolvedMention">
    <w:name w:val="Unresolved Mention"/>
    <w:basedOn w:val="DefaultParagraphFont"/>
    <w:uiPriority w:val="99"/>
    <w:rsid w:val="0010072C"/>
    <w:rPr>
      <w:color w:val="605E5C"/>
      <w:shd w:val="clear" w:color="auto" w:fill="E1DFDD"/>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locked/>
    <w:rsid w:val="0000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D6325EEE3ADC4CB437FAE78F5DF867" ma:contentTypeVersion="7" ma:contentTypeDescription="Create a new document." ma:contentTypeScope="" ma:versionID="b7f4a24b6ac019fb6c8111e5a79feb31">
  <xsd:schema xmlns:xsd="http://www.w3.org/2001/XMLSchema" xmlns:xs="http://www.w3.org/2001/XMLSchema" xmlns:p="http://schemas.microsoft.com/office/2006/metadata/properties" xmlns:ns2="6388bbaa-eeb7-4404-89d8-55d8e11244c0" xmlns:ns3="56f39c12-44b6-4e5c-b54a-12dbc1aca156" targetNamespace="http://schemas.microsoft.com/office/2006/metadata/properties" ma:root="true" ma:fieldsID="74f2cd0c5b8c615271885e82067f86a6" ns2:_="" ns3:_="">
    <xsd:import namespace="6388bbaa-eeb7-4404-89d8-55d8e11244c0"/>
    <xsd:import namespace="56f39c12-44b6-4e5c-b54a-12dbc1aca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8bbaa-eeb7-4404-89d8-55d8e1124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9c12-44b6-4e5c-b54a-12dbc1aca1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1F11D-DD36-4589-B544-D47E1C13F865}">
  <ds:schemaRefs>
    <ds:schemaRef ds:uri="http://schemas.openxmlformats.org/officeDocument/2006/bibliography"/>
  </ds:schemaRefs>
</ds:datastoreItem>
</file>

<file path=customXml/itemProps2.xml><?xml version="1.0" encoding="utf-8"?>
<ds:datastoreItem xmlns:ds="http://schemas.openxmlformats.org/officeDocument/2006/customXml" ds:itemID="{739133D1-62BF-4AD0-A5EF-B619875F1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8bbaa-eeb7-4404-89d8-55d8e11244c0"/>
    <ds:schemaRef ds:uri="56f39c12-44b6-4e5c-b54a-12dbc1ac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712DB-6FA8-4D86-A260-908E69C70351}">
  <ds:schemaRefs>
    <ds:schemaRef ds:uri="http://schemas.microsoft.com/sharepoint/v3/contenttype/forms"/>
  </ds:schemaRefs>
</ds:datastoreItem>
</file>

<file path=customXml/itemProps4.xml><?xml version="1.0" encoding="utf-8"?>
<ds:datastoreItem xmlns:ds="http://schemas.openxmlformats.org/officeDocument/2006/customXml" ds:itemID="{589BAFB0-14BA-4223-B5C9-6B1A4164FC28}">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56f39c12-44b6-4e5c-b54a-12dbc1aca156"/>
    <ds:schemaRef ds:uri="http://purl.org/dc/elements/1.1/"/>
    <ds:schemaRef ds:uri="http://purl.org/dc/terms/"/>
    <ds:schemaRef ds:uri="http://schemas.microsoft.com/office/infopath/2007/PartnerControls"/>
    <ds:schemaRef ds:uri="6388bbaa-eeb7-4404-89d8-55d8e11244c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Sage</dc:creator>
  <cp:keywords/>
  <cp:lastModifiedBy>Milroy, Andy</cp:lastModifiedBy>
  <cp:revision>4</cp:revision>
  <cp:lastPrinted>2015-01-29T06:27:00Z</cp:lastPrinted>
  <dcterms:created xsi:type="dcterms:W3CDTF">2023-11-28T13:21:00Z</dcterms:created>
  <dcterms:modified xsi:type="dcterms:W3CDTF">2023-11-28T13:29:00Z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A582 South Ribble Western Distributor - Update</vt:lpwstr>
  </property>
  <property fmtid="{D5CDD505-2E9C-101B-9397-08002B2CF9AE}" pid="4" name="LeadOfficer">
    <vt:lpwstr>Marcus Hudson</vt:lpwstr>
  </property>
  <property fmtid="{D5CDD505-2E9C-101B-9397-08002B2CF9AE}" pid="5" name="LeadOfficerEmail">
    <vt:lpwstr>marcus.hudson@lancashire.gov.uk</vt:lpwstr>
  </property>
  <property fmtid="{D5CDD505-2E9C-101B-9397-08002B2CF9AE}" pid="6" name="LeadOfficerTel">
    <vt:lpwstr>Tel: 01772 530696</vt:lpwstr>
  </property>
  <property fmtid="{D5CDD505-2E9C-101B-9397-08002B2CF9AE}" pid="7" name="MeetingDate">
    <vt:lpwstr>Tuesday, 13 July 2021</vt:lpwstr>
  </property>
  <property fmtid="{D5CDD505-2E9C-101B-9397-08002B2CF9AE}" pid="8" name="TitusGUID">
    <vt:lpwstr>b16076df-281e-485b-ac3b-6fbc29115d7d</vt:lpwstr>
  </property>
  <property fmtid="{D5CDD505-2E9C-101B-9397-08002B2CF9AE}" pid="9" name="ContentTypeId">
    <vt:lpwstr>0x0101005CD6325EEE3ADC4CB437FAE78F5DF867</vt:lpwstr>
  </property>
</Properties>
</file>